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1B18A5" w:rsidRDefault="001B18A5" w:rsidP="001B18A5">
      <w:pPr>
        <w:pStyle w:val="Heading2"/>
        <w:jc w:val="center"/>
      </w:pPr>
      <w:r>
        <w:t>Interleukin 11 therapy causes acute left ventricular dysfunction</w:t>
      </w:r>
    </w:p>
    <w:p w:rsidR="00A56FB5" w:rsidRPr="00300E3E" w:rsidRDefault="00000000" w:rsidP="001B18A5">
      <w:pPr>
        <w:pStyle w:val="Heading2"/>
        <w:jc w:val="center"/>
      </w:pPr>
      <w:r w:rsidRPr="00300E3E">
        <w:t>Supplementary Materials</w:t>
      </w:r>
    </w:p>
    <w:p w:rsidR="001B18A5" w:rsidRDefault="001B18A5">
      <w:pPr>
        <w:rPr>
          <w:rFonts w:ascii="Times New Roman" w:eastAsia="Times New Roman" w:hAnsi="Times New Roman" w:cs="Times New Roman"/>
          <w:color w:val="000000"/>
          <w:sz w:val="28"/>
          <w:szCs w:val="28"/>
        </w:rPr>
      </w:pPr>
      <w:bookmarkStart w:id="0" w:name="_6npeidp2l3q8" w:colFirst="0" w:colLast="0"/>
      <w:bookmarkEnd w:id="0"/>
      <w:r>
        <w:rPr>
          <w:color w:val="000000"/>
        </w:rPr>
        <w:br w:type="page"/>
      </w:r>
    </w:p>
    <w:p w:rsidR="00A56FB5" w:rsidRPr="001B18A5" w:rsidRDefault="00000000" w:rsidP="001B18A5">
      <w:pPr>
        <w:pStyle w:val="Heading1"/>
      </w:pPr>
      <w:r w:rsidRPr="001B18A5">
        <w:lastRenderedPageBreak/>
        <w:t>Detailed Methods</w:t>
      </w:r>
    </w:p>
    <w:p w:rsidR="001B18A5" w:rsidRPr="00300E3E" w:rsidRDefault="001B18A5" w:rsidP="001B18A5">
      <w:pPr>
        <w:pStyle w:val="Heading2"/>
      </w:pPr>
      <w:proofErr w:type="spellStart"/>
      <w:r w:rsidRPr="00300E3E">
        <w:t>RNAseq</w:t>
      </w:r>
      <w:proofErr w:type="spellEnd"/>
    </w:p>
    <w:p w:rsidR="001B18A5" w:rsidRPr="00300E3E" w:rsidRDefault="001B18A5" w:rsidP="001B18A5">
      <w:pPr>
        <w:spacing w:before="120" w:line="48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 xml:space="preserve">RNA quality for </w:t>
      </w:r>
      <w:proofErr w:type="spellStart"/>
      <w:r w:rsidRPr="00300E3E">
        <w:rPr>
          <w:rFonts w:ascii="Times New Roman" w:eastAsia="Times New Roman" w:hAnsi="Times New Roman" w:cs="Times New Roman"/>
          <w:sz w:val="24"/>
          <w:szCs w:val="24"/>
        </w:rPr>
        <w:t>RNAseq</w:t>
      </w:r>
      <w:proofErr w:type="spellEnd"/>
      <w:r w:rsidRPr="00300E3E">
        <w:rPr>
          <w:rFonts w:ascii="Times New Roman" w:eastAsia="Times New Roman" w:hAnsi="Times New Roman" w:cs="Times New Roman"/>
          <w:sz w:val="24"/>
          <w:szCs w:val="24"/>
        </w:rPr>
        <w:t xml:space="preserve"> was assessed using the Agilent 2100 RNA 6000 Nano assay and </w:t>
      </w:r>
      <w:proofErr w:type="spellStart"/>
      <w:r w:rsidRPr="00300E3E">
        <w:rPr>
          <w:rFonts w:ascii="Times New Roman" w:eastAsia="Times New Roman" w:hAnsi="Times New Roman" w:cs="Times New Roman"/>
          <w:sz w:val="24"/>
          <w:szCs w:val="24"/>
        </w:rPr>
        <w:t>RNASeq</w:t>
      </w:r>
      <w:proofErr w:type="spellEnd"/>
      <w:r w:rsidRPr="00300E3E">
        <w:rPr>
          <w:rFonts w:ascii="Times New Roman" w:eastAsia="Times New Roman" w:hAnsi="Times New Roman" w:cs="Times New Roman"/>
          <w:sz w:val="24"/>
          <w:szCs w:val="24"/>
        </w:rPr>
        <w:t xml:space="preserve"> libraries prepared using the </w:t>
      </w:r>
      <w:proofErr w:type="spellStart"/>
      <w:r w:rsidRPr="00300E3E">
        <w:rPr>
          <w:rFonts w:ascii="Times New Roman" w:eastAsia="Times New Roman" w:hAnsi="Times New Roman" w:cs="Times New Roman"/>
          <w:sz w:val="24"/>
          <w:szCs w:val="24"/>
        </w:rPr>
        <w:t>NEBNext</w:t>
      </w:r>
      <w:proofErr w:type="spellEnd"/>
      <w:r w:rsidRPr="00300E3E">
        <w:rPr>
          <w:rFonts w:ascii="Times New Roman" w:eastAsia="Times New Roman" w:hAnsi="Times New Roman" w:cs="Times New Roman"/>
          <w:sz w:val="24"/>
          <w:szCs w:val="24"/>
        </w:rPr>
        <w:t xml:space="preserve"> Ultra II Directional RNA Library Prep Kit with </w:t>
      </w:r>
      <w:proofErr w:type="spellStart"/>
      <w:r w:rsidRPr="00300E3E">
        <w:rPr>
          <w:rFonts w:ascii="Times New Roman" w:eastAsia="Times New Roman" w:hAnsi="Times New Roman" w:cs="Times New Roman"/>
          <w:sz w:val="24"/>
          <w:szCs w:val="24"/>
        </w:rPr>
        <w:t>NEBNext</w:t>
      </w:r>
      <w:proofErr w:type="spellEnd"/>
      <w:r w:rsidRPr="00300E3E">
        <w:rPr>
          <w:rFonts w:ascii="Times New Roman" w:eastAsia="Times New Roman" w:hAnsi="Times New Roman" w:cs="Times New Roman"/>
          <w:sz w:val="24"/>
          <w:szCs w:val="24"/>
        </w:rPr>
        <w:t xml:space="preserve"> Poly(A) mRNA Magnetic Isolation Module following manufacturer’s instructions. Library quality was evaluated using the Agilent 2100 High-Sensitivity DNA assay, and concentrations measured using the Qubit™ dsDNA HS Assay Kit.</w:t>
      </w:r>
    </w:p>
    <w:p w:rsidR="001B18A5" w:rsidRPr="00300E3E" w:rsidRDefault="001B18A5" w:rsidP="001B18A5">
      <w:pPr>
        <w:spacing w:before="120" w:line="48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Raw reads were aligned to the mouse reference genome GRCm39 (</w:t>
      </w:r>
      <w:proofErr w:type="spellStart"/>
      <w:r w:rsidRPr="00300E3E">
        <w:rPr>
          <w:rFonts w:ascii="Times New Roman" w:eastAsia="Times New Roman" w:hAnsi="Times New Roman" w:cs="Times New Roman"/>
          <w:sz w:val="24"/>
          <w:szCs w:val="24"/>
        </w:rPr>
        <w:t>Ensembl</w:t>
      </w:r>
      <w:proofErr w:type="spellEnd"/>
      <w:r w:rsidRPr="00300E3E">
        <w:rPr>
          <w:rFonts w:ascii="Times New Roman" w:eastAsia="Times New Roman" w:hAnsi="Times New Roman" w:cs="Times New Roman"/>
          <w:sz w:val="24"/>
          <w:szCs w:val="24"/>
        </w:rPr>
        <w:t xml:space="preserve"> release 106) using the STAR</w:t>
      </w:r>
      <w:r>
        <w:rPr>
          <w:rFonts w:ascii="Times New Roman" w:eastAsia="Times New Roman" w:hAnsi="Times New Roman" w:cs="Times New Roman"/>
          <w:noProof/>
          <w:sz w:val="24"/>
          <w:szCs w:val="24"/>
          <w:vertAlign w:val="superscript"/>
        </w:rPr>
        <w:t>1</w:t>
      </w:r>
      <w:r w:rsidRPr="00300E3E">
        <w:rPr>
          <w:rFonts w:ascii="Times New Roman" w:eastAsia="Times New Roman" w:hAnsi="Times New Roman" w:cs="Times New Roman"/>
          <w:sz w:val="24"/>
          <w:szCs w:val="24"/>
        </w:rPr>
        <w:t xml:space="preserve"> software v2.7.10a with default parameters. Aligned reads were assigned to genes to give a gene-level count matrix using the </w:t>
      </w:r>
      <w:proofErr w:type="spellStart"/>
      <w:r w:rsidRPr="00300E3E">
        <w:rPr>
          <w:rFonts w:ascii="Times New Roman" w:eastAsia="Times New Roman" w:hAnsi="Times New Roman" w:cs="Times New Roman"/>
          <w:sz w:val="24"/>
          <w:szCs w:val="24"/>
        </w:rPr>
        <w:t>featureCounts</w:t>
      </w:r>
      <w:proofErr w:type="spellEnd"/>
      <w:r w:rsidRPr="00300E3E">
        <w:rPr>
          <w:rFonts w:ascii="Times New Roman" w:eastAsia="Times New Roman" w:hAnsi="Times New Roman" w:cs="Times New Roman"/>
          <w:sz w:val="24"/>
          <w:szCs w:val="24"/>
        </w:rPr>
        <w:t xml:space="preserve"> tool</w:t>
      </w:r>
      <w:r>
        <w:rPr>
          <w:rFonts w:ascii="Times New Roman" w:eastAsia="Times New Roman" w:hAnsi="Times New Roman" w:cs="Times New Roman"/>
          <w:noProof/>
          <w:sz w:val="24"/>
          <w:szCs w:val="24"/>
          <w:vertAlign w:val="superscript"/>
        </w:rPr>
        <w:t>2</w:t>
      </w:r>
      <w:r w:rsidRPr="00300E3E">
        <w:rPr>
          <w:rFonts w:ascii="Times New Roman" w:eastAsia="Times New Roman" w:hAnsi="Times New Roman" w:cs="Times New Roman"/>
          <w:sz w:val="24"/>
          <w:szCs w:val="24"/>
        </w:rPr>
        <w:t xml:space="preserve"> as part of the </w:t>
      </w:r>
      <w:proofErr w:type="spellStart"/>
      <w:r w:rsidRPr="00300E3E">
        <w:rPr>
          <w:rFonts w:ascii="Times New Roman" w:eastAsia="Times New Roman" w:hAnsi="Times New Roman" w:cs="Times New Roman"/>
          <w:sz w:val="24"/>
          <w:szCs w:val="24"/>
        </w:rPr>
        <w:t>Rsubread</w:t>
      </w:r>
      <w:proofErr w:type="spellEnd"/>
      <w:r w:rsidRPr="00300E3E">
        <w:rPr>
          <w:rFonts w:ascii="Times New Roman" w:eastAsia="Times New Roman" w:hAnsi="Times New Roman" w:cs="Times New Roman"/>
          <w:sz w:val="24"/>
          <w:szCs w:val="24"/>
        </w:rPr>
        <w:t xml:space="preserve"> package v2.10.4. Differential gene expression analysis was performed using the edgeR</w:t>
      </w:r>
      <w:r>
        <w:rPr>
          <w:rFonts w:ascii="Times New Roman" w:eastAsia="Times New Roman" w:hAnsi="Times New Roman" w:cs="Times New Roman"/>
          <w:noProof/>
          <w:sz w:val="24"/>
          <w:szCs w:val="24"/>
          <w:vertAlign w:val="superscript"/>
        </w:rPr>
        <w:t>3</w:t>
      </w:r>
      <w:r w:rsidRPr="00300E3E">
        <w:rPr>
          <w:rFonts w:ascii="Times New Roman" w:eastAsia="Times New Roman" w:hAnsi="Times New Roman" w:cs="Times New Roman"/>
          <w:sz w:val="24"/>
          <w:szCs w:val="24"/>
        </w:rPr>
        <w:t xml:space="preserve"> software v3.38.1 following the author's recommended analysis pipeline utilising a quasi-likelihood negative binomial generalized log-linear model.</w:t>
      </w:r>
    </w:p>
    <w:p w:rsidR="001B18A5" w:rsidRPr="00300E3E" w:rsidRDefault="001B18A5" w:rsidP="001B18A5">
      <w:pPr>
        <w:spacing w:before="120" w:line="480" w:lineRule="auto"/>
        <w:jc w:val="both"/>
        <w:rPr>
          <w:rFonts w:ascii="Times New Roman" w:eastAsia="Times New Roman" w:hAnsi="Times New Roman" w:cs="Times New Roman"/>
          <w:sz w:val="24"/>
          <w:szCs w:val="24"/>
        </w:rPr>
      </w:pPr>
      <w:proofErr w:type="gramStart"/>
      <w:r w:rsidRPr="00300E3E">
        <w:rPr>
          <w:rFonts w:ascii="Times New Roman" w:eastAsia="Times New Roman" w:hAnsi="Times New Roman" w:cs="Times New Roman"/>
          <w:sz w:val="24"/>
          <w:szCs w:val="24"/>
        </w:rPr>
        <w:t>One of the 1 hour</w:t>
      </w:r>
      <w:proofErr w:type="gramEnd"/>
      <w:r w:rsidRPr="00300E3E">
        <w:rPr>
          <w:rFonts w:ascii="Times New Roman" w:eastAsia="Times New Roman" w:hAnsi="Times New Roman" w:cs="Times New Roman"/>
          <w:sz w:val="24"/>
          <w:szCs w:val="24"/>
        </w:rPr>
        <w:t xml:space="preserve"> samples was excluded after randomisation as no phosphorylation of STAT3 was seen on western blot analysis and there were no significantly differentially expressed genes compared to saline injected mice on RNA </w:t>
      </w:r>
      <w:proofErr w:type="spellStart"/>
      <w:r w:rsidRPr="00300E3E">
        <w:rPr>
          <w:rFonts w:ascii="Times New Roman" w:eastAsia="Times New Roman" w:hAnsi="Times New Roman" w:cs="Times New Roman"/>
          <w:sz w:val="24"/>
          <w:szCs w:val="24"/>
        </w:rPr>
        <w:t>seq</w:t>
      </w:r>
      <w:proofErr w:type="spellEnd"/>
      <w:r w:rsidRPr="00300E3E">
        <w:rPr>
          <w:rFonts w:ascii="Times New Roman" w:eastAsia="Times New Roman" w:hAnsi="Times New Roman" w:cs="Times New Roman"/>
          <w:sz w:val="24"/>
          <w:szCs w:val="24"/>
        </w:rPr>
        <w:t xml:space="preserve"> analysis. It was assumed that the rmIL11 intraperitoneal injection was ineffective and may have been intraluminal. </w:t>
      </w:r>
      <w:proofErr w:type="gramStart"/>
      <w:r w:rsidRPr="00300E3E">
        <w:rPr>
          <w:rFonts w:ascii="Times New Roman" w:eastAsia="Times New Roman" w:hAnsi="Times New Roman" w:cs="Times New Roman"/>
          <w:sz w:val="24"/>
          <w:szCs w:val="24"/>
        </w:rPr>
        <w:t>Therefore</w:t>
      </w:r>
      <w:proofErr w:type="gramEnd"/>
      <w:r w:rsidRPr="00300E3E">
        <w:rPr>
          <w:rFonts w:ascii="Times New Roman" w:eastAsia="Times New Roman" w:hAnsi="Times New Roman" w:cs="Times New Roman"/>
          <w:sz w:val="24"/>
          <w:szCs w:val="24"/>
        </w:rPr>
        <w:t xml:space="preserve"> this sample was excluded from further analysis and the 1 hour </w:t>
      </w:r>
      <w:proofErr w:type="spellStart"/>
      <w:r w:rsidRPr="00300E3E">
        <w:rPr>
          <w:rFonts w:ascii="Times New Roman" w:eastAsia="Times New Roman" w:hAnsi="Times New Roman" w:cs="Times New Roman"/>
          <w:sz w:val="24"/>
          <w:szCs w:val="24"/>
        </w:rPr>
        <w:t>RNAseq</w:t>
      </w:r>
      <w:proofErr w:type="spellEnd"/>
      <w:r w:rsidRPr="00300E3E">
        <w:rPr>
          <w:rFonts w:ascii="Times New Roman" w:eastAsia="Times New Roman" w:hAnsi="Times New Roman" w:cs="Times New Roman"/>
          <w:sz w:val="24"/>
          <w:szCs w:val="24"/>
        </w:rPr>
        <w:t xml:space="preserve"> group has 3 rather than 4 biological replicates.</w:t>
      </w:r>
    </w:p>
    <w:p w:rsidR="001B18A5" w:rsidRPr="00300E3E" w:rsidRDefault="001B18A5" w:rsidP="001B18A5">
      <w:pPr>
        <w:spacing w:line="480" w:lineRule="auto"/>
        <w:jc w:val="both"/>
        <w:rPr>
          <w:rFonts w:ascii="Times New Roman" w:eastAsia="Times New Roman" w:hAnsi="Times New Roman" w:cs="Times New Roman"/>
          <w:sz w:val="24"/>
          <w:szCs w:val="24"/>
          <w:u w:val="single"/>
          <w:vertAlign w:val="superscript"/>
        </w:rPr>
      </w:pPr>
      <w:r w:rsidRPr="00300E3E">
        <w:rPr>
          <w:rFonts w:ascii="Times New Roman" w:eastAsia="Times New Roman" w:hAnsi="Times New Roman" w:cs="Times New Roman"/>
          <w:sz w:val="24"/>
          <w:szCs w:val="24"/>
        </w:rPr>
        <w:t xml:space="preserve">Gene set enrichment analysis (GSEA) was carried out on fold change ranked gene lists from male mice 1, 3, and 6 hours after injection of rmIL11 and compared to injection with saline. The data was imputed into the gene set enrichment analysis software (version 4.3.2, Broad Institute, San Diego, USA &amp; UC San Diego, USA) with </w:t>
      </w:r>
      <w:proofErr w:type="spellStart"/>
      <w:r w:rsidRPr="00300E3E">
        <w:rPr>
          <w:rFonts w:ascii="Times New Roman" w:eastAsia="Times New Roman" w:hAnsi="Times New Roman" w:cs="Times New Roman"/>
          <w:sz w:val="24"/>
          <w:szCs w:val="24"/>
        </w:rPr>
        <w:t>MSigDB</w:t>
      </w:r>
      <w:proofErr w:type="spellEnd"/>
      <w:r w:rsidRPr="00300E3E">
        <w:rPr>
          <w:rFonts w:ascii="Times New Roman" w:eastAsia="Times New Roman" w:hAnsi="Times New Roman" w:cs="Times New Roman"/>
          <w:sz w:val="24"/>
          <w:szCs w:val="24"/>
        </w:rPr>
        <w:t xml:space="preserve"> Hallmark gene sets.</w:t>
      </w:r>
      <w:r>
        <w:rPr>
          <w:rFonts w:ascii="Times New Roman" w:eastAsia="Times New Roman" w:hAnsi="Times New Roman" w:cs="Times New Roman"/>
          <w:noProof/>
          <w:sz w:val="24"/>
          <w:szCs w:val="24"/>
          <w:vertAlign w:val="superscript"/>
        </w:rPr>
        <w:t>4</w:t>
      </w:r>
      <w:r w:rsidRPr="00300E3E">
        <w:rPr>
          <w:rFonts w:ascii="Times New Roman" w:eastAsia="Times New Roman" w:hAnsi="Times New Roman" w:cs="Times New Roman"/>
          <w:noProof/>
          <w:sz w:val="24"/>
          <w:szCs w:val="24"/>
          <w:vertAlign w:val="superscript"/>
        </w:rPr>
        <w:t>,5</w:t>
      </w:r>
    </w:p>
    <w:p w:rsidR="001B18A5" w:rsidRPr="00300E3E" w:rsidRDefault="001B18A5" w:rsidP="001B18A5">
      <w:pPr>
        <w:spacing w:before="120" w:line="48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u w:val="single"/>
          <w:vertAlign w:val="superscript"/>
        </w:rPr>
        <w:lastRenderedPageBreak/>
        <w:br/>
      </w:r>
      <w:r w:rsidRPr="00300E3E">
        <w:rPr>
          <w:rFonts w:ascii="Times New Roman" w:eastAsia="Times New Roman" w:hAnsi="Times New Roman" w:cs="Times New Roman"/>
          <w:sz w:val="24"/>
          <w:szCs w:val="24"/>
        </w:rPr>
        <w:t>KEGG pathway analysis was performed using differentially expressed gene lists (Log</w:t>
      </w:r>
      <w:r w:rsidRPr="00300E3E">
        <w:rPr>
          <w:rFonts w:ascii="Times New Roman" w:eastAsia="Times New Roman" w:hAnsi="Times New Roman" w:cs="Times New Roman"/>
          <w:sz w:val="24"/>
          <w:szCs w:val="24"/>
          <w:vertAlign w:val="subscript"/>
        </w:rPr>
        <w:t>2</w:t>
      </w:r>
      <w:r w:rsidRPr="00300E3E">
        <w:rPr>
          <w:rFonts w:ascii="Times New Roman" w:eastAsia="Times New Roman" w:hAnsi="Times New Roman" w:cs="Times New Roman"/>
          <w:sz w:val="24"/>
          <w:szCs w:val="24"/>
        </w:rPr>
        <w:t>FC+/-1, FDR&lt;0.05)</w:t>
      </w:r>
      <w:r>
        <w:rPr>
          <w:rFonts w:ascii="Times New Roman" w:eastAsia="Times New Roman" w:hAnsi="Times New Roman" w:cs="Times New Roman"/>
          <w:noProof/>
          <w:sz w:val="24"/>
          <w:szCs w:val="24"/>
          <w:vertAlign w:val="superscript"/>
        </w:rPr>
        <w:t>6</w:t>
      </w:r>
      <w:r w:rsidRPr="00300E3E">
        <w:rPr>
          <w:rFonts w:ascii="Times New Roman" w:eastAsia="Times New Roman" w:hAnsi="Times New Roman" w:cs="Times New Roman"/>
          <w:noProof/>
          <w:sz w:val="24"/>
          <w:szCs w:val="24"/>
          <w:vertAlign w:val="superscript"/>
        </w:rPr>
        <w:t>,</w:t>
      </w:r>
      <w:r>
        <w:rPr>
          <w:rFonts w:ascii="Times New Roman" w:eastAsia="Times New Roman" w:hAnsi="Times New Roman" w:cs="Times New Roman"/>
          <w:noProof/>
          <w:sz w:val="24"/>
          <w:szCs w:val="24"/>
          <w:vertAlign w:val="superscript"/>
        </w:rPr>
        <w:t>7</w:t>
      </w:r>
      <w:r w:rsidRPr="00300E3E">
        <w:rPr>
          <w:rFonts w:ascii="Times New Roman" w:eastAsia="Times New Roman" w:hAnsi="Times New Roman" w:cs="Times New Roman"/>
          <w:sz w:val="24"/>
          <w:szCs w:val="24"/>
        </w:rPr>
        <w:t xml:space="preserve">. Gene lists were imputed into the </w:t>
      </w:r>
      <w:proofErr w:type="spellStart"/>
      <w:r w:rsidRPr="00300E3E">
        <w:rPr>
          <w:rFonts w:ascii="Times New Roman" w:eastAsia="Times New Roman" w:hAnsi="Times New Roman" w:cs="Times New Roman"/>
          <w:sz w:val="24"/>
          <w:szCs w:val="24"/>
        </w:rPr>
        <w:t>ShinyGO</w:t>
      </w:r>
      <w:proofErr w:type="spellEnd"/>
      <w:r w:rsidRPr="00300E3E">
        <w:rPr>
          <w:rFonts w:ascii="Times New Roman" w:eastAsia="Times New Roman" w:hAnsi="Times New Roman" w:cs="Times New Roman"/>
          <w:sz w:val="24"/>
          <w:szCs w:val="24"/>
        </w:rPr>
        <w:t xml:space="preserve"> software (v0.77, South Dakota State University, USA)</w:t>
      </w:r>
      <w:r>
        <w:rPr>
          <w:rFonts w:ascii="Times New Roman" w:eastAsia="Times New Roman" w:hAnsi="Times New Roman" w:cs="Times New Roman"/>
          <w:noProof/>
          <w:sz w:val="24"/>
          <w:szCs w:val="24"/>
          <w:vertAlign w:val="superscript"/>
        </w:rPr>
        <w:t>8</w:t>
      </w:r>
      <w:r w:rsidRPr="00300E3E">
        <w:rPr>
          <w:rFonts w:ascii="Times New Roman" w:eastAsia="Times New Roman" w:hAnsi="Times New Roman" w:cs="Times New Roman"/>
          <w:sz w:val="24"/>
          <w:szCs w:val="24"/>
        </w:rPr>
        <w:t xml:space="preserve"> and the top 20 KEGG pathways ranked by enrichment false discovery rate (FDR) values were visualised.</w:t>
      </w:r>
    </w:p>
    <w:p w:rsidR="001B18A5" w:rsidRPr="00300E3E" w:rsidRDefault="001B18A5" w:rsidP="001B18A5">
      <w:pPr>
        <w:pStyle w:val="Heading2"/>
      </w:pPr>
      <w:r w:rsidRPr="00300E3E">
        <w:t xml:space="preserve">Single nuclei </w:t>
      </w:r>
      <w:proofErr w:type="spellStart"/>
      <w:r w:rsidRPr="00300E3E">
        <w:t>RNAseq</w:t>
      </w:r>
      <w:proofErr w:type="spellEnd"/>
    </w:p>
    <w:p w:rsidR="001B18A5" w:rsidRPr="00300E3E" w:rsidRDefault="001B18A5" w:rsidP="001B18A5">
      <w:pPr>
        <w:spacing w:before="120" w:line="480" w:lineRule="auto"/>
        <w:jc w:val="both"/>
        <w:rPr>
          <w:rFonts w:ascii="Times New Roman" w:eastAsia="Times New Roman" w:hAnsi="Times New Roman" w:cs="Times New Roman"/>
          <w:sz w:val="24"/>
          <w:szCs w:val="24"/>
        </w:rPr>
      </w:pPr>
      <w:r w:rsidRPr="00300E3E">
        <w:rPr>
          <w:rFonts w:ascii="Cardo" w:eastAsia="Cardo" w:hAnsi="Cardo" w:cs="Cardo"/>
          <w:sz w:val="24"/>
          <w:szCs w:val="24"/>
        </w:rPr>
        <w:t xml:space="preserve">Single nuclei were obtained from flash-frozen tissues using mechanical homogenization in homogenization buffer (250 mM sucrose, 25 mM </w:t>
      </w:r>
      <w:proofErr w:type="spellStart"/>
      <w:r w:rsidRPr="00300E3E">
        <w:rPr>
          <w:rFonts w:ascii="Cardo" w:eastAsia="Cardo" w:hAnsi="Cardo" w:cs="Cardo"/>
          <w:sz w:val="24"/>
          <w:szCs w:val="24"/>
        </w:rPr>
        <w:t>KCl</w:t>
      </w:r>
      <w:proofErr w:type="spellEnd"/>
      <w:r w:rsidRPr="00300E3E">
        <w:rPr>
          <w:rFonts w:ascii="Cardo" w:eastAsia="Cardo" w:hAnsi="Cardo" w:cs="Cardo"/>
          <w:sz w:val="24"/>
          <w:szCs w:val="24"/>
        </w:rPr>
        <w:t xml:space="preserve">, 5 mM MgCl2, 10mM Tris-HCl, 1 mM dithiothreitol (DTT), 1× protease inhibitor, 0.4 U μl−1 </w:t>
      </w:r>
      <w:proofErr w:type="spellStart"/>
      <w:r w:rsidRPr="00300E3E">
        <w:rPr>
          <w:rFonts w:ascii="Cardo" w:eastAsia="Cardo" w:hAnsi="Cardo" w:cs="Cardo"/>
          <w:sz w:val="24"/>
          <w:szCs w:val="24"/>
        </w:rPr>
        <w:t>RNaseIn</w:t>
      </w:r>
      <w:proofErr w:type="spellEnd"/>
      <w:r w:rsidRPr="00300E3E">
        <w:rPr>
          <w:rFonts w:ascii="Cardo" w:eastAsia="Cardo" w:hAnsi="Cardo" w:cs="Cardo"/>
          <w:sz w:val="24"/>
          <w:szCs w:val="24"/>
        </w:rPr>
        <w:t xml:space="preserve">, 0.2 U μl−1 </w:t>
      </w:r>
      <w:proofErr w:type="spellStart"/>
      <w:r w:rsidRPr="00300E3E">
        <w:rPr>
          <w:rFonts w:ascii="Cardo" w:eastAsia="Cardo" w:hAnsi="Cardo" w:cs="Cardo"/>
          <w:sz w:val="24"/>
          <w:szCs w:val="24"/>
        </w:rPr>
        <w:t>SUPERaseIn</w:t>
      </w:r>
      <w:proofErr w:type="spellEnd"/>
      <w:r w:rsidRPr="00300E3E">
        <w:rPr>
          <w:rFonts w:ascii="Cardo" w:eastAsia="Cardo" w:hAnsi="Cardo" w:cs="Cardo"/>
          <w:sz w:val="24"/>
          <w:szCs w:val="24"/>
        </w:rPr>
        <w:t>, 0.1% Triton X-100 in nuclease-free water) (</w:t>
      </w:r>
      <w:proofErr w:type="spellStart"/>
      <w:r w:rsidRPr="00300E3E">
        <w:rPr>
          <w:rFonts w:ascii="Cardo" w:eastAsia="Cardo" w:hAnsi="Cardo" w:cs="Cardo"/>
          <w:sz w:val="24"/>
          <w:szCs w:val="24"/>
        </w:rPr>
        <w:t>Litvinukova</w:t>
      </w:r>
      <w:proofErr w:type="spellEnd"/>
      <w:r w:rsidRPr="00300E3E">
        <w:rPr>
          <w:rFonts w:ascii="Cardo" w:eastAsia="Cardo" w:hAnsi="Cardo" w:cs="Cardo"/>
          <w:sz w:val="24"/>
          <w:szCs w:val="24"/>
        </w:rPr>
        <w:t xml:space="preserve"> et al., 2018). Nuclei were stained with </w:t>
      </w:r>
      <w:proofErr w:type="spellStart"/>
      <w:r w:rsidRPr="00300E3E">
        <w:rPr>
          <w:rFonts w:ascii="Cardo" w:eastAsia="Cardo" w:hAnsi="Cardo" w:cs="Cardo"/>
          <w:sz w:val="24"/>
          <w:szCs w:val="24"/>
        </w:rPr>
        <w:t>NucBlue</w:t>
      </w:r>
      <w:proofErr w:type="spellEnd"/>
      <w:r w:rsidRPr="00300E3E">
        <w:rPr>
          <w:rFonts w:ascii="Cardo" w:eastAsia="Cardo" w:hAnsi="Cardo" w:cs="Cardo"/>
          <w:sz w:val="24"/>
          <w:szCs w:val="24"/>
        </w:rPr>
        <w:t xml:space="preserve"> Live </w:t>
      </w:r>
      <w:proofErr w:type="spellStart"/>
      <w:r w:rsidRPr="00300E3E">
        <w:rPr>
          <w:rFonts w:ascii="Cardo" w:eastAsia="Cardo" w:hAnsi="Cardo" w:cs="Cardo"/>
          <w:sz w:val="24"/>
          <w:szCs w:val="24"/>
        </w:rPr>
        <w:t>ReadyProbes</w:t>
      </w:r>
      <w:proofErr w:type="spellEnd"/>
      <w:r w:rsidRPr="00300E3E">
        <w:rPr>
          <w:rFonts w:ascii="Cardo" w:eastAsia="Cardo" w:hAnsi="Cardo" w:cs="Cardo"/>
          <w:sz w:val="24"/>
          <w:szCs w:val="24"/>
        </w:rPr>
        <w:t xml:space="preserve"> Reagents (</w:t>
      </w:r>
      <w:proofErr w:type="spellStart"/>
      <w:r w:rsidRPr="00300E3E">
        <w:rPr>
          <w:rFonts w:ascii="Cardo" w:eastAsia="Cardo" w:hAnsi="Cardo" w:cs="Cardo"/>
          <w:sz w:val="24"/>
          <w:szCs w:val="24"/>
        </w:rPr>
        <w:t>ThermoFisher</w:t>
      </w:r>
      <w:proofErr w:type="spellEnd"/>
      <w:r w:rsidRPr="00300E3E">
        <w:rPr>
          <w:rFonts w:ascii="Cardo" w:eastAsia="Cardo" w:hAnsi="Cardo" w:cs="Cardo"/>
          <w:sz w:val="24"/>
          <w:szCs w:val="24"/>
        </w:rPr>
        <w:t xml:space="preserve">) and Hoechst-positive single nuclei were purified by fluorescent activated cell sorting using influx, XDP or </w:t>
      </w:r>
      <w:proofErr w:type="spellStart"/>
      <w:r w:rsidRPr="00300E3E">
        <w:rPr>
          <w:rFonts w:ascii="Cardo" w:eastAsia="Cardo" w:hAnsi="Cardo" w:cs="Cardo"/>
          <w:sz w:val="24"/>
          <w:szCs w:val="24"/>
        </w:rPr>
        <w:t>FACSAria</w:t>
      </w:r>
      <w:proofErr w:type="spellEnd"/>
      <w:r w:rsidRPr="00300E3E">
        <w:rPr>
          <w:rFonts w:ascii="Cardo" w:eastAsia="Cardo" w:hAnsi="Cardo" w:cs="Cardo"/>
          <w:sz w:val="24"/>
          <w:szCs w:val="24"/>
        </w:rPr>
        <w:t xml:space="preserve"> (BD Biosciences, </w:t>
      </w:r>
      <w:proofErr w:type="spellStart"/>
      <w:r w:rsidRPr="00300E3E">
        <w:rPr>
          <w:rFonts w:ascii="Cardo" w:eastAsia="Cardo" w:hAnsi="Cardo" w:cs="Cardo"/>
          <w:sz w:val="24"/>
          <w:szCs w:val="24"/>
        </w:rPr>
        <w:t>Heidleberg</w:t>
      </w:r>
      <w:proofErr w:type="spellEnd"/>
      <w:r w:rsidRPr="00300E3E">
        <w:rPr>
          <w:rFonts w:ascii="Cardo" w:eastAsia="Cardo" w:hAnsi="Cardo" w:cs="Cardo"/>
          <w:sz w:val="24"/>
          <w:szCs w:val="24"/>
        </w:rPr>
        <w:t>, Germany).</w:t>
      </w:r>
    </w:p>
    <w:p w:rsidR="001B18A5" w:rsidRPr="00300E3E" w:rsidRDefault="001B18A5" w:rsidP="001B18A5">
      <w:pPr>
        <w:spacing w:line="48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 xml:space="preserve">Nuclei purification and integrity was verified under a microscope, and nuclei were further processed using the Chromium Controller (10X Genomics, CA, USA) according to the manufacturer’s protocol. Single nuclei were manually counted by Trypan blue exclusion. Nuclei suspension was adjusted to 400–1,000 cells per microlitre and loaded on the Chromium Controller (10X Genomics) with a targeted nuclei recovery of 4,000–10,000 per reaction. 3′ gene expression libraries were prepared according to the manufacturer’s instructions Chromium Single Cell Reagent Kits (10X Genomics). Libraries were sequenced using </w:t>
      </w:r>
      <w:proofErr w:type="spellStart"/>
      <w:r w:rsidRPr="00300E3E">
        <w:rPr>
          <w:rFonts w:ascii="Times New Roman" w:eastAsia="Times New Roman" w:hAnsi="Times New Roman" w:cs="Times New Roman"/>
          <w:sz w:val="24"/>
          <w:szCs w:val="24"/>
        </w:rPr>
        <w:t>HiSeq</w:t>
      </w:r>
      <w:proofErr w:type="spellEnd"/>
      <w:r w:rsidRPr="00300E3E">
        <w:rPr>
          <w:rFonts w:ascii="Times New Roman" w:eastAsia="Times New Roman" w:hAnsi="Times New Roman" w:cs="Times New Roman"/>
          <w:sz w:val="24"/>
          <w:szCs w:val="24"/>
        </w:rPr>
        <w:t xml:space="preserve"> 4000 (Illumina, CA, USA) with a minimum depth of 20,000–30,000 read pairs per nucleus.</w:t>
      </w:r>
    </w:p>
    <w:p w:rsidR="001B18A5" w:rsidRPr="00300E3E" w:rsidRDefault="001B18A5" w:rsidP="001B18A5">
      <w:pPr>
        <w:pStyle w:val="Heading2"/>
      </w:pPr>
      <w:r w:rsidRPr="00300E3E">
        <w:rPr>
          <w:sz w:val="24"/>
          <w:szCs w:val="24"/>
        </w:rPr>
        <w:lastRenderedPageBreak/>
        <w:t xml:space="preserve"> </w:t>
      </w:r>
      <w:proofErr w:type="spellStart"/>
      <w:r w:rsidRPr="00300E3E">
        <w:t>ATACSeq</w:t>
      </w:r>
      <w:proofErr w:type="spellEnd"/>
    </w:p>
    <w:p w:rsidR="001B18A5" w:rsidRPr="00300E3E" w:rsidRDefault="001B18A5" w:rsidP="001B18A5">
      <w:pPr>
        <w:spacing w:line="48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 xml:space="preserve">The tissue was manually disassociated, isolated nuclei were quantified using a haemocytometer, and 100,000 nuclei were </w:t>
      </w:r>
      <w:proofErr w:type="spellStart"/>
      <w:r w:rsidRPr="00300E3E">
        <w:rPr>
          <w:rFonts w:ascii="Times New Roman" w:eastAsia="Times New Roman" w:hAnsi="Times New Roman" w:cs="Times New Roman"/>
          <w:sz w:val="24"/>
          <w:szCs w:val="24"/>
        </w:rPr>
        <w:t>tagmented</w:t>
      </w:r>
      <w:proofErr w:type="spellEnd"/>
      <w:r w:rsidRPr="00300E3E">
        <w:rPr>
          <w:rFonts w:ascii="Times New Roman" w:eastAsia="Times New Roman" w:hAnsi="Times New Roman" w:cs="Times New Roman"/>
          <w:sz w:val="24"/>
          <w:szCs w:val="24"/>
        </w:rPr>
        <w:t xml:space="preserve"> as previously described,</w:t>
      </w:r>
      <w:r>
        <w:rPr>
          <w:rFonts w:ascii="Times New Roman" w:eastAsia="Times New Roman" w:hAnsi="Times New Roman" w:cs="Times New Roman"/>
          <w:noProof/>
          <w:sz w:val="24"/>
          <w:szCs w:val="24"/>
          <w:vertAlign w:val="superscript"/>
        </w:rPr>
        <w:t>9</w:t>
      </w:r>
      <w:r w:rsidRPr="00300E3E">
        <w:rPr>
          <w:rFonts w:ascii="Times New Roman" w:eastAsia="Times New Roman" w:hAnsi="Times New Roman" w:cs="Times New Roman"/>
          <w:sz w:val="24"/>
          <w:szCs w:val="24"/>
        </w:rPr>
        <w:t xml:space="preserve"> with some modifications based on </w:t>
      </w:r>
      <w:proofErr w:type="spellStart"/>
      <w:r w:rsidRPr="00300E3E">
        <w:rPr>
          <w:rFonts w:ascii="Times New Roman" w:eastAsia="Times New Roman" w:hAnsi="Times New Roman" w:cs="Times New Roman"/>
          <w:sz w:val="24"/>
          <w:szCs w:val="24"/>
        </w:rPr>
        <w:t>Corces</w:t>
      </w:r>
      <w:proofErr w:type="spellEnd"/>
      <w:r w:rsidRPr="00300E3E">
        <w:rPr>
          <w:rFonts w:ascii="Times New Roman" w:eastAsia="Times New Roman" w:hAnsi="Times New Roman" w:cs="Times New Roman"/>
          <w:sz w:val="24"/>
          <w:szCs w:val="24"/>
        </w:rPr>
        <w:t xml:space="preserve"> et al</w:t>
      </w:r>
      <w:r>
        <w:rPr>
          <w:rFonts w:ascii="Times New Roman" w:eastAsia="Times New Roman" w:hAnsi="Times New Roman" w:cs="Times New Roman"/>
          <w:noProof/>
          <w:sz w:val="24"/>
          <w:szCs w:val="24"/>
          <w:vertAlign w:val="superscript"/>
        </w:rPr>
        <w:t>10</w:t>
      </w:r>
      <w:r w:rsidRPr="00300E3E">
        <w:rPr>
          <w:rFonts w:ascii="Times New Roman" w:eastAsia="Times New Roman" w:hAnsi="Times New Roman" w:cs="Times New Roman"/>
          <w:sz w:val="24"/>
          <w:szCs w:val="24"/>
        </w:rPr>
        <w:t xml:space="preserve"> using the enzyme and buffer provided in the </w:t>
      </w:r>
      <w:proofErr w:type="spellStart"/>
      <w:r w:rsidRPr="00300E3E">
        <w:rPr>
          <w:rFonts w:ascii="Times New Roman" w:eastAsia="Times New Roman" w:hAnsi="Times New Roman" w:cs="Times New Roman"/>
          <w:sz w:val="24"/>
          <w:szCs w:val="24"/>
        </w:rPr>
        <w:t>Nextera</w:t>
      </w:r>
      <w:proofErr w:type="spellEnd"/>
      <w:r w:rsidRPr="00300E3E">
        <w:rPr>
          <w:rFonts w:ascii="Times New Roman" w:eastAsia="Times New Roman" w:hAnsi="Times New Roman" w:cs="Times New Roman"/>
          <w:sz w:val="24"/>
          <w:szCs w:val="24"/>
        </w:rPr>
        <w:t xml:space="preserve"> Library Prep Kit (Illumina, CA, USA). </w:t>
      </w:r>
      <w:proofErr w:type="spellStart"/>
      <w:r w:rsidRPr="00300E3E">
        <w:rPr>
          <w:rFonts w:ascii="Times New Roman" w:eastAsia="Times New Roman" w:hAnsi="Times New Roman" w:cs="Times New Roman"/>
          <w:sz w:val="24"/>
          <w:szCs w:val="24"/>
        </w:rPr>
        <w:t>Tagmented</w:t>
      </w:r>
      <w:proofErr w:type="spellEnd"/>
      <w:r w:rsidRPr="00300E3E">
        <w:rPr>
          <w:rFonts w:ascii="Times New Roman" w:eastAsia="Times New Roman" w:hAnsi="Times New Roman" w:cs="Times New Roman"/>
          <w:sz w:val="24"/>
          <w:szCs w:val="24"/>
        </w:rPr>
        <w:t xml:space="preserve"> DNA was then purified using the </w:t>
      </w:r>
      <w:proofErr w:type="spellStart"/>
      <w:r w:rsidRPr="00300E3E">
        <w:rPr>
          <w:rFonts w:ascii="Times New Roman" w:eastAsia="Times New Roman" w:hAnsi="Times New Roman" w:cs="Times New Roman"/>
          <w:sz w:val="24"/>
          <w:szCs w:val="24"/>
        </w:rPr>
        <w:t>MinElute</w:t>
      </w:r>
      <w:proofErr w:type="spellEnd"/>
      <w:r w:rsidRPr="00300E3E">
        <w:rPr>
          <w:rFonts w:ascii="Times New Roman" w:eastAsia="Times New Roman" w:hAnsi="Times New Roman" w:cs="Times New Roman"/>
          <w:sz w:val="24"/>
          <w:szCs w:val="24"/>
        </w:rPr>
        <w:t xml:space="preserve"> PCR purification kit (Qiagen), amplified with 10 cycles of PCR, and purified using </w:t>
      </w:r>
      <w:proofErr w:type="spellStart"/>
      <w:r w:rsidRPr="00300E3E">
        <w:rPr>
          <w:rFonts w:ascii="Times New Roman" w:eastAsia="Times New Roman" w:hAnsi="Times New Roman" w:cs="Times New Roman"/>
          <w:sz w:val="24"/>
          <w:szCs w:val="24"/>
        </w:rPr>
        <w:t>Agencourt</w:t>
      </w:r>
      <w:proofErr w:type="spellEnd"/>
      <w:r w:rsidRPr="00300E3E">
        <w:rPr>
          <w:rFonts w:ascii="Times New Roman" w:eastAsia="Times New Roman" w:hAnsi="Times New Roman" w:cs="Times New Roman"/>
          <w:sz w:val="24"/>
          <w:szCs w:val="24"/>
        </w:rPr>
        <w:t xml:space="preserve"> </w:t>
      </w:r>
      <w:proofErr w:type="spellStart"/>
      <w:r w:rsidRPr="00300E3E">
        <w:rPr>
          <w:rFonts w:ascii="Times New Roman" w:eastAsia="Times New Roman" w:hAnsi="Times New Roman" w:cs="Times New Roman"/>
          <w:sz w:val="24"/>
          <w:szCs w:val="24"/>
        </w:rPr>
        <w:t>AMPure</w:t>
      </w:r>
      <w:proofErr w:type="spellEnd"/>
      <w:r w:rsidRPr="00300E3E">
        <w:rPr>
          <w:rFonts w:ascii="Times New Roman" w:eastAsia="Times New Roman" w:hAnsi="Times New Roman" w:cs="Times New Roman"/>
          <w:sz w:val="24"/>
          <w:szCs w:val="24"/>
        </w:rPr>
        <w:t xml:space="preserve"> SPRI beads (Beckman Coulter, CA, USA). The resulting material was quantified using the KAPA Library Quantification Kit for Illumina platforms (KAPA Biosystems, MA, USA), and sequenced with PE42 sequencing on the </w:t>
      </w:r>
      <w:proofErr w:type="spellStart"/>
      <w:r w:rsidRPr="00300E3E">
        <w:rPr>
          <w:rFonts w:ascii="Times New Roman" w:eastAsia="Times New Roman" w:hAnsi="Times New Roman" w:cs="Times New Roman"/>
          <w:sz w:val="24"/>
          <w:szCs w:val="24"/>
        </w:rPr>
        <w:t>NextSeq</w:t>
      </w:r>
      <w:proofErr w:type="spellEnd"/>
      <w:r w:rsidRPr="00300E3E">
        <w:rPr>
          <w:rFonts w:ascii="Times New Roman" w:eastAsia="Times New Roman" w:hAnsi="Times New Roman" w:cs="Times New Roman"/>
          <w:sz w:val="24"/>
          <w:szCs w:val="24"/>
        </w:rPr>
        <w:t xml:space="preserve"> 500 sequencer (Illumina).</w:t>
      </w:r>
    </w:p>
    <w:p w:rsidR="001B18A5" w:rsidRPr="00300E3E" w:rsidRDefault="001B18A5" w:rsidP="001B18A5">
      <w:pPr>
        <w:spacing w:line="480" w:lineRule="auto"/>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 xml:space="preserve"> </w:t>
      </w:r>
    </w:p>
    <w:p w:rsidR="001B18A5" w:rsidRPr="00300E3E" w:rsidRDefault="001B18A5" w:rsidP="001B18A5">
      <w:pPr>
        <w:spacing w:line="48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 xml:space="preserve">For analysis, reads were aligned using the BWA algorithm (mem mode; default settings). Duplicate reads were removed, only reads mapping as matched pairs and only uniquely mapped reads (mapping quality &gt;= 1) were used for further analysis. Alignments were extended in silico at their 3’-ends to a length of 200 bp and assigned to 32-nt bins along the genome. The resulting histograms (genomic “signal maps”) were stored in </w:t>
      </w:r>
      <w:proofErr w:type="spellStart"/>
      <w:r w:rsidRPr="00300E3E">
        <w:rPr>
          <w:rFonts w:ascii="Times New Roman" w:eastAsia="Times New Roman" w:hAnsi="Times New Roman" w:cs="Times New Roman"/>
          <w:sz w:val="24"/>
          <w:szCs w:val="24"/>
        </w:rPr>
        <w:t>bigWig</w:t>
      </w:r>
      <w:proofErr w:type="spellEnd"/>
      <w:r w:rsidRPr="00300E3E">
        <w:rPr>
          <w:rFonts w:ascii="Times New Roman" w:eastAsia="Times New Roman" w:hAnsi="Times New Roman" w:cs="Times New Roman"/>
          <w:sz w:val="24"/>
          <w:szCs w:val="24"/>
        </w:rPr>
        <w:t xml:space="preserve"> files. Peaks were identified using the MACS 3.0.0 algorithm at a cutoff of p-value 1e-7, without control file, and with the </w:t>
      </w:r>
      <w:proofErr w:type="spellStart"/>
      <w:r w:rsidRPr="00300E3E">
        <w:rPr>
          <w:rFonts w:ascii="Times New Roman" w:eastAsia="Times New Roman" w:hAnsi="Times New Roman" w:cs="Times New Roman"/>
          <w:sz w:val="24"/>
          <w:szCs w:val="24"/>
        </w:rPr>
        <w:t>nomodel</w:t>
      </w:r>
      <w:proofErr w:type="spellEnd"/>
      <w:r w:rsidRPr="00300E3E">
        <w:rPr>
          <w:rFonts w:ascii="Times New Roman" w:eastAsia="Times New Roman" w:hAnsi="Times New Roman" w:cs="Times New Roman"/>
          <w:sz w:val="24"/>
          <w:szCs w:val="24"/>
        </w:rPr>
        <w:t xml:space="preserve"> option. Peaks that were on the ENCODE blacklist of known false </w:t>
      </w:r>
      <w:proofErr w:type="spellStart"/>
      <w:r w:rsidRPr="00300E3E">
        <w:rPr>
          <w:rFonts w:ascii="Times New Roman" w:eastAsia="Times New Roman" w:hAnsi="Times New Roman" w:cs="Times New Roman"/>
          <w:sz w:val="24"/>
          <w:szCs w:val="24"/>
        </w:rPr>
        <w:t>ChIP-Seq</w:t>
      </w:r>
      <w:proofErr w:type="spellEnd"/>
      <w:r w:rsidRPr="00300E3E">
        <w:rPr>
          <w:rFonts w:ascii="Times New Roman" w:eastAsia="Times New Roman" w:hAnsi="Times New Roman" w:cs="Times New Roman"/>
          <w:sz w:val="24"/>
          <w:szCs w:val="24"/>
        </w:rPr>
        <w:t xml:space="preserve"> peaks were removed. Signal maps and peak locations were used as input data to Active Motifs proprietary analysis program, which creates Excel tables containing detailed information on sample comparison, peak metrics, peak locations and gene annotations. For differential analysis, reads were counted in all merged peak regions (using Subread), and the replicates for each condition were compared using DESeq2.</w:t>
      </w:r>
    </w:p>
    <w:p w:rsidR="001B18A5" w:rsidRPr="00300E3E" w:rsidRDefault="001B18A5" w:rsidP="001B18A5">
      <w:pPr>
        <w:pStyle w:val="Heading2"/>
      </w:pPr>
      <w:r w:rsidRPr="00300E3E">
        <w:rPr>
          <w:sz w:val="24"/>
          <w:szCs w:val="24"/>
        </w:rPr>
        <w:lastRenderedPageBreak/>
        <w:t xml:space="preserve"> </w:t>
      </w:r>
      <w:r w:rsidRPr="00300E3E">
        <w:t>Cardiomyocyte Isolation</w:t>
      </w:r>
    </w:p>
    <w:p w:rsidR="001B18A5" w:rsidRDefault="001B18A5" w:rsidP="001B18A5">
      <w:pPr>
        <w:spacing w:line="480" w:lineRule="auto"/>
        <w:rPr>
          <w:rFonts w:ascii="Times New Roman" w:eastAsia="Times New Roman" w:hAnsi="Times New Roman" w:cs="Times New Roman"/>
          <w:sz w:val="32"/>
          <w:szCs w:val="32"/>
        </w:rPr>
      </w:pPr>
      <w:r>
        <w:rPr>
          <w:rFonts w:ascii="Times New Roman" w:eastAsia="Times New Roman" w:hAnsi="Times New Roman" w:cs="Times New Roman"/>
          <w:sz w:val="24"/>
          <w:szCs w:val="24"/>
        </w:rPr>
        <w:t>Mice were deeply anaesthetised using IP injection of xylazine and ketamine and when the pedal reflex was no longer present t</w:t>
      </w:r>
      <w:r w:rsidRPr="00300E3E">
        <w:rPr>
          <w:rFonts w:ascii="Times New Roman" w:eastAsia="Times New Roman" w:hAnsi="Times New Roman" w:cs="Times New Roman"/>
          <w:sz w:val="24"/>
          <w:szCs w:val="24"/>
        </w:rPr>
        <w:t xml:space="preserve">he chest was opened and the heart and aorta were transferred to ice-cold perfusion buffer (113mM NaCl, 4.7mM </w:t>
      </w:r>
      <w:proofErr w:type="spellStart"/>
      <w:r w:rsidRPr="00300E3E">
        <w:rPr>
          <w:rFonts w:ascii="Times New Roman" w:eastAsia="Times New Roman" w:hAnsi="Times New Roman" w:cs="Times New Roman"/>
          <w:sz w:val="24"/>
          <w:szCs w:val="24"/>
        </w:rPr>
        <w:t>KCl</w:t>
      </w:r>
      <w:proofErr w:type="spellEnd"/>
      <w:r w:rsidRPr="00300E3E">
        <w:rPr>
          <w:rFonts w:ascii="Times New Roman" w:eastAsia="Times New Roman" w:hAnsi="Times New Roman" w:cs="Times New Roman"/>
          <w:sz w:val="24"/>
          <w:szCs w:val="24"/>
        </w:rPr>
        <w:t>, 0.6mM KH</w:t>
      </w:r>
      <w:r w:rsidRPr="00300E3E">
        <w:rPr>
          <w:rFonts w:ascii="Times New Roman" w:eastAsia="Times New Roman" w:hAnsi="Times New Roman" w:cs="Times New Roman"/>
          <w:sz w:val="24"/>
          <w:szCs w:val="24"/>
          <w:vertAlign w:val="subscript"/>
        </w:rPr>
        <w:t>2</w:t>
      </w:r>
      <w:r w:rsidRPr="00300E3E">
        <w:rPr>
          <w:rFonts w:ascii="Times New Roman" w:eastAsia="Times New Roman" w:hAnsi="Times New Roman" w:cs="Times New Roman"/>
          <w:sz w:val="24"/>
          <w:szCs w:val="24"/>
        </w:rPr>
        <w:t>PO</w:t>
      </w:r>
      <w:r w:rsidRPr="00300E3E">
        <w:rPr>
          <w:rFonts w:ascii="Times New Roman" w:eastAsia="Times New Roman" w:hAnsi="Times New Roman" w:cs="Times New Roman"/>
          <w:sz w:val="24"/>
          <w:szCs w:val="24"/>
          <w:vertAlign w:val="subscript"/>
        </w:rPr>
        <w:t>4</w:t>
      </w:r>
      <w:r w:rsidRPr="00300E3E">
        <w:rPr>
          <w:rFonts w:ascii="Times New Roman" w:eastAsia="Times New Roman" w:hAnsi="Times New Roman" w:cs="Times New Roman"/>
          <w:sz w:val="24"/>
          <w:szCs w:val="24"/>
        </w:rPr>
        <w:t>, 0.6mM Na</w:t>
      </w:r>
      <w:r w:rsidRPr="00300E3E">
        <w:rPr>
          <w:rFonts w:ascii="Times New Roman" w:eastAsia="Times New Roman" w:hAnsi="Times New Roman" w:cs="Times New Roman"/>
          <w:sz w:val="24"/>
          <w:szCs w:val="24"/>
          <w:vertAlign w:val="subscript"/>
        </w:rPr>
        <w:t>2</w:t>
      </w:r>
      <w:r w:rsidRPr="00300E3E">
        <w:rPr>
          <w:rFonts w:ascii="Times New Roman" w:eastAsia="Times New Roman" w:hAnsi="Times New Roman" w:cs="Times New Roman"/>
          <w:sz w:val="24"/>
          <w:szCs w:val="24"/>
        </w:rPr>
        <w:t>HPO</w:t>
      </w:r>
      <w:r w:rsidRPr="00300E3E">
        <w:rPr>
          <w:rFonts w:ascii="Times New Roman" w:eastAsia="Times New Roman" w:hAnsi="Times New Roman" w:cs="Times New Roman"/>
          <w:sz w:val="24"/>
          <w:szCs w:val="24"/>
          <w:vertAlign w:val="subscript"/>
        </w:rPr>
        <w:t>4</w:t>
      </w:r>
      <w:r w:rsidRPr="00300E3E">
        <w:rPr>
          <w:rFonts w:ascii="Times New Roman" w:eastAsia="Times New Roman" w:hAnsi="Times New Roman" w:cs="Times New Roman"/>
          <w:sz w:val="24"/>
          <w:szCs w:val="24"/>
        </w:rPr>
        <w:t>, 1.2mM MgSO</w:t>
      </w:r>
      <w:r w:rsidRPr="00300E3E">
        <w:rPr>
          <w:rFonts w:ascii="Times New Roman" w:eastAsia="Times New Roman" w:hAnsi="Times New Roman" w:cs="Times New Roman"/>
          <w:sz w:val="24"/>
          <w:szCs w:val="24"/>
          <w:vertAlign w:val="subscript"/>
        </w:rPr>
        <w:t>4</w:t>
      </w:r>
      <w:r w:rsidRPr="00300E3E">
        <w:rPr>
          <w:rFonts w:ascii="Times New Roman" w:eastAsia="Times New Roman" w:hAnsi="Times New Roman" w:cs="Times New Roman"/>
          <w:sz w:val="24"/>
          <w:szCs w:val="24"/>
        </w:rPr>
        <w:t>-7H2O, 12mM NaHCO</w:t>
      </w:r>
      <w:r w:rsidRPr="00300E3E">
        <w:rPr>
          <w:rFonts w:ascii="Times New Roman" w:eastAsia="Times New Roman" w:hAnsi="Times New Roman" w:cs="Times New Roman"/>
          <w:sz w:val="24"/>
          <w:szCs w:val="24"/>
          <w:vertAlign w:val="subscript"/>
        </w:rPr>
        <w:t>3</w:t>
      </w:r>
      <w:r w:rsidRPr="00300E3E">
        <w:rPr>
          <w:rFonts w:ascii="Times New Roman" w:eastAsia="Times New Roman" w:hAnsi="Times New Roman" w:cs="Times New Roman"/>
          <w:sz w:val="24"/>
          <w:szCs w:val="24"/>
        </w:rPr>
        <w:t>, 10mM KHCO</w:t>
      </w:r>
      <w:r w:rsidRPr="00300E3E">
        <w:rPr>
          <w:rFonts w:ascii="Times New Roman" w:eastAsia="Times New Roman" w:hAnsi="Times New Roman" w:cs="Times New Roman"/>
          <w:sz w:val="24"/>
          <w:szCs w:val="24"/>
          <w:vertAlign w:val="subscript"/>
        </w:rPr>
        <w:t>3</w:t>
      </w:r>
      <w:r w:rsidRPr="00300E3E">
        <w:rPr>
          <w:rFonts w:ascii="Times New Roman" w:eastAsia="Times New Roman" w:hAnsi="Times New Roman" w:cs="Times New Roman"/>
          <w:sz w:val="24"/>
          <w:szCs w:val="24"/>
        </w:rPr>
        <w:t xml:space="preserve">, HEPES Na Salt 0.922mM, Taurine 30mM, butanedione monoxime 10mM, glucose 5.5mM, pH 7.4). Excess material was dissected away from the heart and the ascending aorta cannulated and placed on retrograde perfusion </w:t>
      </w:r>
      <w:proofErr w:type="spellStart"/>
      <w:r w:rsidRPr="00300E3E">
        <w:rPr>
          <w:rFonts w:ascii="Times New Roman" w:eastAsia="Times New Roman" w:hAnsi="Times New Roman" w:cs="Times New Roman"/>
          <w:sz w:val="24"/>
          <w:szCs w:val="24"/>
        </w:rPr>
        <w:t>Langendorff</w:t>
      </w:r>
      <w:proofErr w:type="spellEnd"/>
      <w:r w:rsidRPr="00300E3E">
        <w:rPr>
          <w:rFonts w:ascii="Times New Roman" w:eastAsia="Times New Roman" w:hAnsi="Times New Roman" w:cs="Times New Roman"/>
          <w:sz w:val="24"/>
          <w:szCs w:val="24"/>
        </w:rPr>
        <w:t xml:space="preserve"> apparatus. The heart was perfused with warmed perfusion buffer for 4 mins and then digestion buffer (0.2mg/mL </w:t>
      </w:r>
      <w:proofErr w:type="spellStart"/>
      <w:r w:rsidRPr="00300E3E">
        <w:rPr>
          <w:rFonts w:ascii="Times New Roman" w:eastAsia="Times New Roman" w:hAnsi="Times New Roman" w:cs="Times New Roman"/>
          <w:sz w:val="24"/>
          <w:szCs w:val="24"/>
        </w:rPr>
        <w:t>Liberase</w:t>
      </w:r>
      <w:proofErr w:type="spellEnd"/>
      <w:r w:rsidRPr="00300E3E">
        <w:rPr>
          <w:rFonts w:ascii="Times New Roman" w:eastAsia="Times New Roman" w:hAnsi="Times New Roman" w:cs="Times New Roman"/>
          <w:sz w:val="24"/>
          <w:szCs w:val="24"/>
        </w:rPr>
        <w:t xml:space="preserve"> ™, (05401127001, Sigma Aldrich), 5.5mM Trypsin (15090046, Invitrogen), 0.005U/mL DNase (79256, Qiagen), 12.5uM CaCl</w:t>
      </w:r>
      <w:r w:rsidRPr="00300E3E">
        <w:rPr>
          <w:rFonts w:ascii="Times New Roman" w:eastAsia="Times New Roman" w:hAnsi="Times New Roman" w:cs="Times New Roman"/>
          <w:sz w:val="24"/>
          <w:szCs w:val="24"/>
          <w:vertAlign w:val="subscript"/>
        </w:rPr>
        <w:t>2</w:t>
      </w:r>
      <w:r w:rsidRPr="00300E3E">
        <w:rPr>
          <w:rFonts w:ascii="Times New Roman" w:eastAsia="Times New Roman" w:hAnsi="Times New Roman" w:cs="Times New Roman"/>
          <w:sz w:val="24"/>
          <w:szCs w:val="24"/>
        </w:rPr>
        <w:t>) until fully digested. Subsequently, the heart was minced and gently pipetted until a uniform suspension was formed. Cells were filtered through sterile gauze and resuspended in perfusion buffer. Sequential calcium reintroduction was performed in 3 steps up to 1mM (62uM, 212uM and 1mM). CMs were plated on laminin and allowed to equilibrate for 1 hour in M199 media supplemented with 2mM L-carnitine, 5mM creatine, and 5mM taurine before stimulation with rmIL11.</w:t>
      </w:r>
      <w:r>
        <w:br w:type="page"/>
      </w:r>
    </w:p>
    <w:p w:rsidR="001B18A5" w:rsidRDefault="001B18A5" w:rsidP="001B18A5">
      <w:pPr>
        <w:pStyle w:val="Heading2"/>
      </w:pPr>
      <w:r>
        <w:lastRenderedPageBreak/>
        <w:t>Supplementary References</w:t>
      </w:r>
    </w:p>
    <w:p w:rsidR="001B18A5" w:rsidRDefault="001B18A5" w:rsidP="001B18A5">
      <w:pPr>
        <w:pStyle w:val="NormalWeb"/>
        <w:numPr>
          <w:ilvl w:val="0"/>
          <w:numId w:val="1"/>
        </w:numPr>
        <w:spacing w:line="480" w:lineRule="auto"/>
      </w:pPr>
      <w:proofErr w:type="spellStart"/>
      <w:r>
        <w:t>Dobin</w:t>
      </w:r>
      <w:proofErr w:type="spellEnd"/>
      <w:r>
        <w:t xml:space="preserve"> A, Davis CA, Schlesinger F, </w:t>
      </w:r>
      <w:proofErr w:type="spellStart"/>
      <w:r>
        <w:t>Drenkow</w:t>
      </w:r>
      <w:proofErr w:type="spellEnd"/>
      <w:r>
        <w:t xml:space="preserve"> J, Zaleski C, Jha S, </w:t>
      </w:r>
      <w:proofErr w:type="spellStart"/>
      <w:r>
        <w:t>Batut</w:t>
      </w:r>
      <w:proofErr w:type="spellEnd"/>
      <w:r>
        <w:t xml:space="preserve"> P, </w:t>
      </w:r>
      <w:proofErr w:type="spellStart"/>
      <w:r>
        <w:t>Chaisson</w:t>
      </w:r>
      <w:proofErr w:type="spellEnd"/>
      <w:r>
        <w:t xml:space="preserve"> M, </w:t>
      </w:r>
      <w:proofErr w:type="spellStart"/>
      <w:r>
        <w:t>Gingeras</w:t>
      </w:r>
      <w:proofErr w:type="spellEnd"/>
      <w:r>
        <w:t xml:space="preserve"> TR (2013) STAR: Ultrafast universal RNA-</w:t>
      </w:r>
      <w:proofErr w:type="spellStart"/>
      <w:r>
        <w:t>seq</w:t>
      </w:r>
      <w:proofErr w:type="spellEnd"/>
      <w:r>
        <w:t xml:space="preserve"> aligner. </w:t>
      </w:r>
      <w:r>
        <w:rPr>
          <w:rStyle w:val="Emphasis"/>
        </w:rPr>
        <w:t>Bioinformatics 29</w:t>
      </w:r>
      <w:r>
        <w:t>(1) 15–21.</w:t>
      </w:r>
    </w:p>
    <w:p w:rsidR="001B18A5" w:rsidRDefault="001B18A5" w:rsidP="001B18A5">
      <w:pPr>
        <w:pStyle w:val="NormalWeb"/>
        <w:numPr>
          <w:ilvl w:val="0"/>
          <w:numId w:val="1"/>
        </w:numPr>
        <w:spacing w:line="480" w:lineRule="auto"/>
      </w:pPr>
      <w:r>
        <w:t xml:space="preserve">Liao Y, Smyth GK, Shi W (2014) </w:t>
      </w:r>
      <w:proofErr w:type="spellStart"/>
      <w:r>
        <w:t>featureCounts</w:t>
      </w:r>
      <w:proofErr w:type="spellEnd"/>
      <w:r>
        <w:t xml:space="preserve">: An efficient </w:t>
      </w:r>
      <w:proofErr w:type="gramStart"/>
      <w:r>
        <w:t>general purpose</w:t>
      </w:r>
      <w:proofErr w:type="gramEnd"/>
      <w:r>
        <w:t xml:space="preserve"> program for assigning sequence reads to genomic features. </w:t>
      </w:r>
      <w:r>
        <w:rPr>
          <w:rStyle w:val="Emphasis"/>
        </w:rPr>
        <w:t>Bioinformatics 30</w:t>
      </w:r>
      <w:r>
        <w:t xml:space="preserve">(7) 923–930.Robinson MD, McCarthy DJ, Smyth GK (2010) </w:t>
      </w:r>
      <w:proofErr w:type="spellStart"/>
      <w:r>
        <w:t>edgeR</w:t>
      </w:r>
      <w:proofErr w:type="spellEnd"/>
      <w:r>
        <w:t xml:space="preserve">: A Bioconductor package for differential expression analysis of digital gene expression data. </w:t>
      </w:r>
      <w:r>
        <w:rPr>
          <w:rStyle w:val="Emphasis"/>
        </w:rPr>
        <w:t>Bioinformatics 26</w:t>
      </w:r>
      <w:r>
        <w:t>(1) 139–140.</w:t>
      </w:r>
    </w:p>
    <w:p w:rsidR="001B18A5" w:rsidRDefault="001B18A5" w:rsidP="001B18A5">
      <w:pPr>
        <w:pStyle w:val="NormalWeb"/>
        <w:numPr>
          <w:ilvl w:val="0"/>
          <w:numId w:val="1"/>
        </w:numPr>
        <w:spacing w:line="480" w:lineRule="auto"/>
      </w:pPr>
      <w:r>
        <w:t xml:space="preserve">Mootha VK, Lindgren CM, Eriksson KF, Subramanian A, </w:t>
      </w:r>
      <w:proofErr w:type="spellStart"/>
      <w:r>
        <w:t>Sihag</w:t>
      </w:r>
      <w:proofErr w:type="spellEnd"/>
      <w:r>
        <w:t xml:space="preserve"> S, Lehar J, </w:t>
      </w:r>
      <w:proofErr w:type="spellStart"/>
      <w:r>
        <w:t>Puigserver</w:t>
      </w:r>
      <w:proofErr w:type="spellEnd"/>
      <w:r>
        <w:t xml:space="preserve"> P, Carlsson E, </w:t>
      </w:r>
      <w:proofErr w:type="spellStart"/>
      <w:r>
        <w:t>Ridderstråle</w:t>
      </w:r>
      <w:proofErr w:type="spellEnd"/>
      <w:r>
        <w:t xml:space="preserve"> M, </w:t>
      </w:r>
      <w:proofErr w:type="spellStart"/>
      <w:r>
        <w:t>Laurila</w:t>
      </w:r>
      <w:proofErr w:type="spellEnd"/>
      <w:r>
        <w:t xml:space="preserve"> E, </w:t>
      </w:r>
      <w:proofErr w:type="spellStart"/>
      <w:r>
        <w:t>Houstis</w:t>
      </w:r>
      <w:proofErr w:type="spellEnd"/>
      <w:r>
        <w:t xml:space="preserve"> N, Daly MJ, Patterson N, </w:t>
      </w:r>
      <w:proofErr w:type="spellStart"/>
      <w:r>
        <w:t>Mesirov</w:t>
      </w:r>
      <w:proofErr w:type="spellEnd"/>
      <w:r>
        <w:t xml:space="preserve"> JP, Golub TR, Tamayo P, Spiegelman B, Lander ES, </w:t>
      </w:r>
      <w:proofErr w:type="spellStart"/>
      <w:r>
        <w:t>Altshuler</w:t>
      </w:r>
      <w:proofErr w:type="spellEnd"/>
      <w:r>
        <w:t xml:space="preserve"> D (2003) PGC-1alpha-responsive genes involved in oxidative phosphorylation are </w:t>
      </w:r>
      <w:proofErr w:type="spellStart"/>
      <w:r>
        <w:t>coordinately</w:t>
      </w:r>
      <w:proofErr w:type="spellEnd"/>
      <w:r>
        <w:t xml:space="preserve"> downregulated in human diabetes. </w:t>
      </w:r>
      <w:r>
        <w:rPr>
          <w:rStyle w:val="Emphasis"/>
        </w:rPr>
        <w:t>Nat Genet 34</w:t>
      </w:r>
      <w:r>
        <w:t>(3) 267–273.</w:t>
      </w:r>
    </w:p>
    <w:p w:rsidR="001B18A5" w:rsidRDefault="001B18A5" w:rsidP="001B18A5">
      <w:pPr>
        <w:pStyle w:val="NormalWeb"/>
        <w:numPr>
          <w:ilvl w:val="0"/>
          <w:numId w:val="1"/>
        </w:numPr>
        <w:spacing w:line="480" w:lineRule="auto"/>
      </w:pPr>
      <w:r>
        <w:t xml:space="preserve">Subramanian A, Tamayo P, Mootha VK, Mukherjee S, Ebert BL, Gillette MA, </w:t>
      </w:r>
      <w:proofErr w:type="spellStart"/>
      <w:r>
        <w:t>Paulovich</w:t>
      </w:r>
      <w:proofErr w:type="spellEnd"/>
      <w:r>
        <w:t xml:space="preserve"> A, Pomeroy SL, Golub TR, Lander ES, </w:t>
      </w:r>
      <w:proofErr w:type="spellStart"/>
      <w:r>
        <w:t>Mesirov</w:t>
      </w:r>
      <w:proofErr w:type="spellEnd"/>
      <w:r>
        <w:t xml:space="preserve"> JP (2005) Gene set enrichment analysis: A knowledge-based approach for interpreting genome-wide expression profiles. </w:t>
      </w:r>
      <w:r>
        <w:rPr>
          <w:rStyle w:val="Emphasis"/>
        </w:rPr>
        <w:t xml:space="preserve">Proc Natl </w:t>
      </w:r>
      <w:proofErr w:type="spellStart"/>
      <w:r>
        <w:rPr>
          <w:rStyle w:val="Emphasis"/>
        </w:rPr>
        <w:t>Acad</w:t>
      </w:r>
      <w:proofErr w:type="spellEnd"/>
      <w:r>
        <w:rPr>
          <w:rStyle w:val="Emphasis"/>
        </w:rPr>
        <w:t xml:space="preserve"> Sci U S A 102</w:t>
      </w:r>
      <w:r>
        <w:t>(43) 15545–15550.</w:t>
      </w:r>
    </w:p>
    <w:p w:rsidR="001B18A5" w:rsidRDefault="001B18A5" w:rsidP="001B18A5">
      <w:pPr>
        <w:pStyle w:val="NormalWeb"/>
        <w:numPr>
          <w:ilvl w:val="0"/>
          <w:numId w:val="1"/>
        </w:numPr>
        <w:spacing w:line="480" w:lineRule="auto"/>
      </w:pPr>
      <w:proofErr w:type="spellStart"/>
      <w:r>
        <w:t>Kanehisa</w:t>
      </w:r>
      <w:proofErr w:type="spellEnd"/>
      <w:r>
        <w:t xml:space="preserve"> M, Goto S (2000) KEGG: Kyoto </w:t>
      </w:r>
      <w:proofErr w:type="spellStart"/>
      <w:r>
        <w:t>encyclopedia</w:t>
      </w:r>
      <w:proofErr w:type="spellEnd"/>
      <w:r>
        <w:t xml:space="preserve"> of genes and genomes. </w:t>
      </w:r>
      <w:r>
        <w:rPr>
          <w:rStyle w:val="Emphasis"/>
        </w:rPr>
        <w:t>Nucleic Acids Res 28</w:t>
      </w:r>
      <w:r>
        <w:t>(1) 27–30.</w:t>
      </w:r>
    </w:p>
    <w:p w:rsidR="001B18A5" w:rsidRDefault="001B18A5" w:rsidP="001B18A5">
      <w:pPr>
        <w:pStyle w:val="NormalWeb"/>
        <w:numPr>
          <w:ilvl w:val="0"/>
          <w:numId w:val="1"/>
        </w:numPr>
        <w:spacing w:line="480" w:lineRule="auto"/>
      </w:pPr>
      <w:proofErr w:type="spellStart"/>
      <w:r>
        <w:t>Kanehisa</w:t>
      </w:r>
      <w:proofErr w:type="spellEnd"/>
      <w:r>
        <w:t xml:space="preserve"> M, </w:t>
      </w:r>
      <w:proofErr w:type="spellStart"/>
      <w:r>
        <w:t>Furumichi</w:t>
      </w:r>
      <w:proofErr w:type="spellEnd"/>
      <w:r>
        <w:t xml:space="preserve"> M, Sato Y, Kawashima M, Ishiguro-Watanabe M (2023) KEGG for taxonomy-based analysis of pathways and genomes. </w:t>
      </w:r>
      <w:r>
        <w:rPr>
          <w:rStyle w:val="Emphasis"/>
        </w:rPr>
        <w:t>Nucleic Acids Res 51</w:t>
      </w:r>
      <w:r>
        <w:t>(D1) D587–D592.</w:t>
      </w:r>
    </w:p>
    <w:p w:rsidR="001B18A5" w:rsidRDefault="001B18A5" w:rsidP="001B18A5">
      <w:pPr>
        <w:pStyle w:val="NormalWeb"/>
        <w:numPr>
          <w:ilvl w:val="0"/>
          <w:numId w:val="1"/>
        </w:numPr>
        <w:spacing w:line="480" w:lineRule="auto"/>
      </w:pPr>
      <w:r>
        <w:lastRenderedPageBreak/>
        <w:t xml:space="preserve">Ge SX, Jung D, Yao R (2020) </w:t>
      </w:r>
      <w:proofErr w:type="spellStart"/>
      <w:r>
        <w:t>ShinyGO</w:t>
      </w:r>
      <w:proofErr w:type="spellEnd"/>
      <w:r>
        <w:t xml:space="preserve">: A graphical gene-set enrichment tool for animals and plants. </w:t>
      </w:r>
      <w:r>
        <w:rPr>
          <w:rStyle w:val="Emphasis"/>
        </w:rPr>
        <w:t>Bioinformatics 36</w:t>
      </w:r>
      <w:r>
        <w:t>(8) 2628–2629.</w:t>
      </w:r>
    </w:p>
    <w:p w:rsidR="001B18A5" w:rsidRDefault="001B18A5" w:rsidP="001B18A5">
      <w:pPr>
        <w:pStyle w:val="NormalWeb"/>
        <w:numPr>
          <w:ilvl w:val="0"/>
          <w:numId w:val="1"/>
        </w:numPr>
        <w:spacing w:line="480" w:lineRule="auto"/>
      </w:pPr>
      <w:proofErr w:type="spellStart"/>
      <w:r>
        <w:t>Buenrostro</w:t>
      </w:r>
      <w:proofErr w:type="spellEnd"/>
      <w:r>
        <w:t xml:space="preserve"> JD, </w:t>
      </w:r>
      <w:proofErr w:type="spellStart"/>
      <w:r>
        <w:t>Giresi</w:t>
      </w:r>
      <w:proofErr w:type="spellEnd"/>
      <w:r>
        <w:t xml:space="preserve"> PG, </w:t>
      </w:r>
      <w:proofErr w:type="spellStart"/>
      <w:r>
        <w:t>Zaba</w:t>
      </w:r>
      <w:proofErr w:type="spellEnd"/>
      <w:r>
        <w:t xml:space="preserve"> LC, Chang HY, Greenleaf WJ (2013) Transposition of native chromatin for fast and sensitive epigenomic profiling of open chromatin, DNA-binding proteins and nucleosome position. </w:t>
      </w:r>
      <w:r>
        <w:rPr>
          <w:rStyle w:val="Emphasis"/>
        </w:rPr>
        <w:t>Nat Methods 10</w:t>
      </w:r>
      <w:r>
        <w:t>(12) 1213–1218.</w:t>
      </w:r>
    </w:p>
    <w:p w:rsidR="001B18A5" w:rsidRDefault="001B18A5" w:rsidP="001B18A5">
      <w:pPr>
        <w:pStyle w:val="NormalWeb"/>
        <w:numPr>
          <w:ilvl w:val="0"/>
          <w:numId w:val="1"/>
        </w:numPr>
        <w:spacing w:line="480" w:lineRule="auto"/>
      </w:pPr>
      <w:proofErr w:type="spellStart"/>
      <w:r>
        <w:t>Corces</w:t>
      </w:r>
      <w:proofErr w:type="spellEnd"/>
      <w:r>
        <w:t xml:space="preserve"> MR, Trevino AE, Hamilton EG, Greenside PG, Sinnott-Armstrong NA, </w:t>
      </w:r>
      <w:proofErr w:type="spellStart"/>
      <w:r>
        <w:t>Vesuna</w:t>
      </w:r>
      <w:proofErr w:type="spellEnd"/>
      <w:r>
        <w:t xml:space="preserve"> S, </w:t>
      </w:r>
      <w:proofErr w:type="spellStart"/>
      <w:r>
        <w:t>Satpathy</w:t>
      </w:r>
      <w:proofErr w:type="spellEnd"/>
      <w:r>
        <w:t xml:space="preserve"> AT, Rubin AJ, </w:t>
      </w:r>
      <w:proofErr w:type="spellStart"/>
      <w:r>
        <w:t>Montine</w:t>
      </w:r>
      <w:proofErr w:type="spellEnd"/>
      <w:r>
        <w:t xml:space="preserve"> KS, Wu B, </w:t>
      </w:r>
      <w:proofErr w:type="spellStart"/>
      <w:r>
        <w:t>Kathiria</w:t>
      </w:r>
      <w:proofErr w:type="spellEnd"/>
      <w:r>
        <w:t xml:space="preserve"> A, Cho SW, </w:t>
      </w:r>
      <w:proofErr w:type="spellStart"/>
      <w:r>
        <w:t>Mumbach</w:t>
      </w:r>
      <w:proofErr w:type="spellEnd"/>
      <w:r>
        <w:t xml:space="preserve"> MR, Carter AC, </w:t>
      </w:r>
      <w:proofErr w:type="spellStart"/>
      <w:r>
        <w:t>Kasowski</w:t>
      </w:r>
      <w:proofErr w:type="spellEnd"/>
      <w:r>
        <w:t xml:space="preserve"> M, Orloff LA, </w:t>
      </w:r>
      <w:proofErr w:type="spellStart"/>
      <w:r>
        <w:t>Risca</w:t>
      </w:r>
      <w:proofErr w:type="spellEnd"/>
      <w:r>
        <w:t xml:space="preserve"> VI, </w:t>
      </w:r>
      <w:proofErr w:type="spellStart"/>
      <w:r>
        <w:t>Kundaje</w:t>
      </w:r>
      <w:proofErr w:type="spellEnd"/>
      <w:r>
        <w:t xml:space="preserve"> A, Khavari PA, Greenleaf WJ, Chang HY (2017) An improved ATAC-</w:t>
      </w:r>
      <w:proofErr w:type="spellStart"/>
      <w:r>
        <w:t>seq</w:t>
      </w:r>
      <w:proofErr w:type="spellEnd"/>
      <w:r>
        <w:t xml:space="preserve"> protocol reduces background and enables interrogation of frozen tissues. </w:t>
      </w:r>
      <w:r>
        <w:rPr>
          <w:rStyle w:val="Emphasis"/>
        </w:rPr>
        <w:t>Nat Methods 14</w:t>
      </w:r>
      <w:r>
        <w:t>(10) 959–962.</w:t>
      </w:r>
    </w:p>
    <w:p w:rsidR="00F3448F" w:rsidRPr="00F3448F" w:rsidRDefault="00F3448F" w:rsidP="00F3448F">
      <w:pPr>
        <w:sectPr w:rsidR="00F3448F" w:rsidRPr="00F3448F" w:rsidSect="0008118D">
          <w:headerReference w:type="default" r:id="rId8"/>
          <w:footerReference w:type="even" r:id="rId9"/>
          <w:footerReference w:type="default" r:id="rId10"/>
          <w:pgSz w:w="11909" w:h="16834"/>
          <w:pgMar w:top="1440" w:right="1440" w:bottom="1440" w:left="1440" w:header="720" w:footer="720" w:gutter="0"/>
          <w:lnNumType w:countBy="1"/>
          <w:pgNumType w:start="1"/>
          <w:cols w:space="720"/>
          <w:docGrid w:linePitch="299"/>
        </w:sectPr>
      </w:pPr>
    </w:p>
    <w:p w:rsidR="00A56FB5" w:rsidRPr="00300E3E" w:rsidRDefault="00000000" w:rsidP="001B18A5">
      <w:pPr>
        <w:pStyle w:val="Heading1"/>
      </w:pPr>
      <w:bookmarkStart w:id="1" w:name="_v4vivtd4hrn5" w:colFirst="0" w:colLast="0"/>
      <w:bookmarkEnd w:id="1"/>
      <w:r w:rsidRPr="00300E3E">
        <w:lastRenderedPageBreak/>
        <w:t>Supplementary Tables</w:t>
      </w:r>
    </w:p>
    <w:tbl>
      <w:tblPr>
        <w:tblStyle w:val="a3"/>
        <w:tblW w:w="11565" w:type="dxa"/>
        <w:tblLayout w:type="fixed"/>
        <w:tblLook w:val="0400" w:firstRow="0" w:lastRow="0" w:firstColumn="0" w:lastColumn="0" w:noHBand="0" w:noVBand="1"/>
      </w:tblPr>
      <w:tblGrid>
        <w:gridCol w:w="1815"/>
        <w:gridCol w:w="5610"/>
        <w:gridCol w:w="1440"/>
        <w:gridCol w:w="1140"/>
        <w:gridCol w:w="1560"/>
      </w:tblGrid>
      <w:tr w:rsidR="00A56FB5" w:rsidRPr="00300E3E">
        <w:trPr>
          <w:trHeight w:val="1140"/>
        </w:trPr>
        <w:tc>
          <w:tcPr>
            <w:tcW w:w="1815" w:type="dxa"/>
            <w:tcBorders>
              <w:top w:val="nil"/>
              <w:left w:val="nil"/>
              <w:bottom w:val="nil"/>
              <w:right w:val="nil"/>
            </w:tcBorders>
            <w:shd w:val="clear" w:color="auto" w:fill="auto"/>
            <w:vAlign w:val="bottom"/>
          </w:tcPr>
          <w:p w:rsidR="00A56FB5" w:rsidRPr="00300E3E" w:rsidRDefault="00000000" w:rsidP="00924C62">
            <w:pPr>
              <w:spacing w:line="240" w:lineRule="auto"/>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t>NCT Number / PMID</w:t>
            </w:r>
          </w:p>
        </w:tc>
        <w:tc>
          <w:tcPr>
            <w:tcW w:w="5610" w:type="dxa"/>
            <w:tcBorders>
              <w:top w:val="nil"/>
              <w:left w:val="nil"/>
              <w:bottom w:val="nil"/>
              <w:right w:val="nil"/>
            </w:tcBorders>
            <w:shd w:val="clear" w:color="auto" w:fill="auto"/>
            <w:vAlign w:val="bottom"/>
          </w:tcPr>
          <w:p w:rsidR="00A56FB5" w:rsidRPr="00300E3E" w:rsidRDefault="00000000" w:rsidP="00924C62">
            <w:pPr>
              <w:spacing w:line="240" w:lineRule="auto"/>
              <w:jc w:val="center"/>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t>Title</w:t>
            </w:r>
          </w:p>
        </w:tc>
        <w:tc>
          <w:tcPr>
            <w:tcW w:w="1440" w:type="dxa"/>
            <w:tcBorders>
              <w:top w:val="nil"/>
              <w:left w:val="nil"/>
              <w:bottom w:val="nil"/>
              <w:right w:val="nil"/>
            </w:tcBorders>
            <w:shd w:val="clear" w:color="auto" w:fill="auto"/>
            <w:vAlign w:val="bottom"/>
          </w:tcPr>
          <w:p w:rsidR="00A56FB5" w:rsidRPr="00300E3E" w:rsidRDefault="00000000" w:rsidP="00924C62">
            <w:pPr>
              <w:spacing w:line="240" w:lineRule="auto"/>
              <w:jc w:val="right"/>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t>Study Completion / Publication Date</w:t>
            </w:r>
          </w:p>
        </w:tc>
        <w:tc>
          <w:tcPr>
            <w:tcW w:w="1140" w:type="dxa"/>
            <w:tcBorders>
              <w:top w:val="nil"/>
              <w:left w:val="nil"/>
              <w:bottom w:val="nil"/>
              <w:right w:val="nil"/>
            </w:tcBorders>
            <w:shd w:val="clear" w:color="auto" w:fill="auto"/>
            <w:vAlign w:val="bottom"/>
          </w:tcPr>
          <w:p w:rsidR="00A56FB5" w:rsidRPr="00300E3E" w:rsidRDefault="00000000" w:rsidP="00924C62">
            <w:pPr>
              <w:spacing w:line="240" w:lineRule="auto"/>
              <w:jc w:val="right"/>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t>Number of Patients</w:t>
            </w:r>
          </w:p>
        </w:tc>
        <w:tc>
          <w:tcPr>
            <w:tcW w:w="1560" w:type="dxa"/>
            <w:tcBorders>
              <w:top w:val="nil"/>
              <w:left w:val="nil"/>
              <w:bottom w:val="nil"/>
              <w:right w:val="nil"/>
            </w:tcBorders>
            <w:shd w:val="clear" w:color="auto" w:fill="auto"/>
            <w:vAlign w:val="bottom"/>
          </w:tcPr>
          <w:p w:rsidR="00A56FB5" w:rsidRPr="00300E3E" w:rsidRDefault="00000000" w:rsidP="00924C62">
            <w:pPr>
              <w:spacing w:line="240" w:lineRule="auto"/>
              <w:jc w:val="right"/>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t>Status</w:t>
            </w:r>
          </w:p>
        </w:tc>
      </w:tr>
      <w:tr w:rsidR="00A56FB5" w:rsidRPr="00300E3E">
        <w:trPr>
          <w:trHeight w:val="320"/>
        </w:trPr>
        <w:tc>
          <w:tcPr>
            <w:tcW w:w="7425" w:type="dxa"/>
            <w:gridSpan w:val="2"/>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t>Chemotherapy Induced Thrombocytopenia</w:t>
            </w:r>
          </w:p>
        </w:tc>
        <w:tc>
          <w:tcPr>
            <w:tcW w:w="14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1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56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r>
      <w:tr w:rsidR="00A56FB5" w:rsidRPr="00300E3E">
        <w:trPr>
          <w:trHeight w:val="314"/>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NCT03823079</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Comparison of Interleukin-11 and </w:t>
            </w:r>
            <w:proofErr w:type="spellStart"/>
            <w:r w:rsidRPr="00300E3E">
              <w:rPr>
                <w:rFonts w:ascii="Times New Roman" w:eastAsia="Times New Roman" w:hAnsi="Times New Roman" w:cs="Times New Roman"/>
                <w:sz w:val="20"/>
                <w:szCs w:val="20"/>
              </w:rPr>
              <w:t>rhTPO</w:t>
            </w:r>
            <w:proofErr w:type="spellEnd"/>
            <w:r w:rsidRPr="00300E3E">
              <w:rPr>
                <w:rFonts w:ascii="Times New Roman" w:eastAsia="Times New Roman" w:hAnsi="Times New Roman" w:cs="Times New Roman"/>
                <w:sz w:val="20"/>
                <w:szCs w:val="20"/>
              </w:rPr>
              <w:t xml:space="preserve"> for Recurrent Colorectal Cancer Patients </w:t>
            </w:r>
            <w:proofErr w:type="gramStart"/>
            <w:r w:rsidRPr="00300E3E">
              <w:rPr>
                <w:rFonts w:ascii="Times New Roman" w:eastAsia="Times New Roman" w:hAnsi="Times New Roman" w:cs="Times New Roman"/>
                <w:sz w:val="20"/>
                <w:szCs w:val="20"/>
              </w:rPr>
              <w:t>With</w:t>
            </w:r>
            <w:proofErr w:type="gramEnd"/>
            <w:r w:rsidRPr="00300E3E">
              <w:rPr>
                <w:rFonts w:ascii="Times New Roman" w:eastAsia="Times New Roman" w:hAnsi="Times New Roman" w:cs="Times New Roman"/>
                <w:sz w:val="20"/>
                <w:szCs w:val="20"/>
              </w:rPr>
              <w:t xml:space="preserve"> Thrombocytopenia</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Feb-20</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50</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Unknown status</w:t>
            </w:r>
          </w:p>
        </w:tc>
      </w:tr>
      <w:tr w:rsidR="00A56FB5" w:rsidRPr="00300E3E">
        <w:trPr>
          <w:trHeight w:val="126"/>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NCT01663441</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 Phase IIIa Study of Genetically Modified Recombinant Human Interleukin-11</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Aug-17</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62</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92"/>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NCT02314273</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Effect of rhIL-11 in Patients </w:t>
            </w:r>
            <w:proofErr w:type="gramStart"/>
            <w:r w:rsidRPr="00300E3E">
              <w:rPr>
                <w:rFonts w:ascii="Times New Roman" w:eastAsia="Times New Roman" w:hAnsi="Times New Roman" w:cs="Times New Roman"/>
                <w:sz w:val="20"/>
                <w:szCs w:val="20"/>
              </w:rPr>
              <w:t>With</w:t>
            </w:r>
            <w:proofErr w:type="gramEnd"/>
            <w:r w:rsidRPr="00300E3E">
              <w:rPr>
                <w:rFonts w:ascii="Times New Roman" w:eastAsia="Times New Roman" w:hAnsi="Times New Roman" w:cs="Times New Roman"/>
                <w:sz w:val="20"/>
                <w:szCs w:val="20"/>
              </w:rPr>
              <w:t xml:space="preserve"> Thrombocytopenia for Childhood ALL</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Apr-14</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120</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288"/>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NCT00886743</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Study Evaluating </w:t>
            </w:r>
            <w:proofErr w:type="gramStart"/>
            <w:r w:rsidRPr="00300E3E">
              <w:rPr>
                <w:rFonts w:ascii="Times New Roman" w:eastAsia="Times New Roman" w:hAnsi="Times New Roman" w:cs="Times New Roman"/>
                <w:sz w:val="20"/>
                <w:szCs w:val="20"/>
              </w:rPr>
              <w:t>The</w:t>
            </w:r>
            <w:proofErr w:type="gramEnd"/>
            <w:r w:rsidRPr="00300E3E">
              <w:rPr>
                <w:rFonts w:ascii="Times New Roman" w:eastAsia="Times New Roman" w:hAnsi="Times New Roman" w:cs="Times New Roman"/>
                <w:sz w:val="20"/>
                <w:szCs w:val="20"/>
              </w:rPr>
              <w:t xml:space="preserve"> Effects Of </w:t>
            </w:r>
            <w:proofErr w:type="spellStart"/>
            <w:r w:rsidRPr="00300E3E">
              <w:rPr>
                <w:rFonts w:ascii="Times New Roman" w:eastAsia="Times New Roman" w:hAnsi="Times New Roman" w:cs="Times New Roman"/>
                <w:sz w:val="20"/>
                <w:szCs w:val="20"/>
              </w:rPr>
              <w:t>Oprelvekin</w:t>
            </w:r>
            <w:proofErr w:type="spellEnd"/>
            <w:r w:rsidRPr="00300E3E">
              <w:rPr>
                <w:rFonts w:ascii="Times New Roman" w:eastAsia="Times New Roman" w:hAnsi="Times New Roman" w:cs="Times New Roman"/>
                <w:sz w:val="20"/>
                <w:szCs w:val="20"/>
              </w:rPr>
              <w:t xml:space="preserve"> On Cardiac Repolarization In Subjects With Chemotherapy Induced Thrombocytopenia</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Dec-15</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19</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Terminated</w:t>
            </w:r>
          </w:p>
        </w:tc>
      </w:tr>
      <w:tr w:rsidR="00A56FB5" w:rsidRPr="00300E3E">
        <w:trPr>
          <w:trHeight w:val="198"/>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NCT00493181</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Interleukin 11, Thrombocytopenia, Imatinib in Chronic Myelogenous </w:t>
            </w:r>
            <w:proofErr w:type="spellStart"/>
            <w:r w:rsidRPr="00300E3E">
              <w:rPr>
                <w:rFonts w:ascii="Times New Roman" w:eastAsia="Times New Roman" w:hAnsi="Times New Roman" w:cs="Times New Roman"/>
                <w:sz w:val="20"/>
                <w:szCs w:val="20"/>
              </w:rPr>
              <w:t>Leukemia</w:t>
            </w:r>
            <w:proofErr w:type="spellEnd"/>
            <w:r w:rsidRPr="00300E3E">
              <w:rPr>
                <w:rFonts w:ascii="Times New Roman" w:eastAsia="Times New Roman" w:hAnsi="Times New Roman" w:cs="Times New Roman"/>
                <w:sz w:val="20"/>
                <w:szCs w:val="20"/>
              </w:rPr>
              <w:t xml:space="preserve"> (CML) Patients</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Jan-11</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8</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144"/>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12839693</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Recombinant human interleukin-11 in the prevention of chemotherapy-induced thrombocytopenia</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May-03</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118</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92"/>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12717398</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Recombinant human interleukin-11 improves thrombocytopenia in patients with cirrhosis</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Mar-01</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10</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58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22041866</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proofErr w:type="spellStart"/>
            <w:r w:rsidRPr="00300E3E">
              <w:rPr>
                <w:rFonts w:ascii="Times New Roman" w:eastAsia="Times New Roman" w:hAnsi="Times New Roman" w:cs="Times New Roman"/>
                <w:sz w:val="20"/>
                <w:szCs w:val="20"/>
              </w:rPr>
              <w:t>Multicenter</w:t>
            </w:r>
            <w:proofErr w:type="spellEnd"/>
            <w:r w:rsidRPr="00300E3E">
              <w:rPr>
                <w:rFonts w:ascii="Times New Roman" w:eastAsia="Times New Roman" w:hAnsi="Times New Roman" w:cs="Times New Roman"/>
                <w:sz w:val="20"/>
                <w:szCs w:val="20"/>
              </w:rPr>
              <w:t>, randomized study of genetically modified recombinant human interleukin-11 to prevent chemotherapy- Nov-11 induced thrombocytopenia in cancer patients receiving chemotherapy</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Aug-12</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88</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27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21122391</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Therapeutic effect of interleukin-11 on thrombocytopenia in patients with hematologic malignancies after chemotherapy</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Sep-10</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70</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42"/>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19236785</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Effect of recombinant human interleukin 11 on recovery of platelets after peripheral blood hematopoietic stem cell transplantation</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Feb-09</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20</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432"/>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17611320</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Effect of recombinant human interleukin 11 on the platelet after hematopoietic stem cell transplantation in patients with </w:t>
            </w:r>
            <w:proofErr w:type="spellStart"/>
            <w:r w:rsidRPr="00300E3E">
              <w:rPr>
                <w:rFonts w:ascii="Times New Roman" w:eastAsia="Times New Roman" w:hAnsi="Times New Roman" w:cs="Times New Roman"/>
                <w:sz w:val="20"/>
                <w:szCs w:val="20"/>
              </w:rPr>
              <w:t>leukemia</w:t>
            </w:r>
            <w:proofErr w:type="spellEnd"/>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Jun-07</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24</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414"/>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lastRenderedPageBreak/>
              <w:t>PMID: 17261503</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A </w:t>
            </w:r>
            <w:proofErr w:type="spellStart"/>
            <w:r w:rsidRPr="00300E3E">
              <w:rPr>
                <w:rFonts w:ascii="Times New Roman" w:eastAsia="Times New Roman" w:hAnsi="Times New Roman" w:cs="Times New Roman"/>
                <w:sz w:val="20"/>
                <w:szCs w:val="20"/>
              </w:rPr>
              <w:t>multicenter</w:t>
            </w:r>
            <w:proofErr w:type="spellEnd"/>
            <w:r w:rsidRPr="00300E3E">
              <w:rPr>
                <w:rFonts w:ascii="Times New Roman" w:eastAsia="Times New Roman" w:hAnsi="Times New Roman" w:cs="Times New Roman"/>
                <w:sz w:val="20"/>
                <w:szCs w:val="20"/>
              </w:rPr>
              <w:t xml:space="preserve"> randomized, double-blind, placebo-controlled late-phase II/III study of recombinant human interleukin 11 in acute myelogenous </w:t>
            </w:r>
            <w:proofErr w:type="spellStart"/>
            <w:r w:rsidRPr="00300E3E">
              <w:rPr>
                <w:rFonts w:ascii="Times New Roman" w:eastAsia="Times New Roman" w:hAnsi="Times New Roman" w:cs="Times New Roman"/>
                <w:sz w:val="20"/>
                <w:szCs w:val="20"/>
              </w:rPr>
              <w:t>leukemia</w:t>
            </w:r>
            <w:proofErr w:type="spellEnd"/>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Jan-07</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101</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45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17147124</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Effectiveness and safety of recombinant human interleukin-11 in the treatment of chemotherapy-induced thrombocytopenia</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Jul-06</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32</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58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16413056</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Phase II trial of subcutaneous recombinant human interleukin 11 with subcutaneous recombinant human granulocyte-macrophage colony stimulating factor in patients with acute myeloid </w:t>
            </w:r>
            <w:proofErr w:type="spellStart"/>
            <w:r w:rsidRPr="00300E3E">
              <w:rPr>
                <w:rFonts w:ascii="Times New Roman" w:eastAsia="Times New Roman" w:hAnsi="Times New Roman" w:cs="Times New Roman"/>
                <w:sz w:val="20"/>
                <w:szCs w:val="20"/>
              </w:rPr>
              <w:t>leukemia</w:t>
            </w:r>
            <w:proofErr w:type="spellEnd"/>
            <w:r w:rsidRPr="00300E3E">
              <w:rPr>
                <w:rFonts w:ascii="Times New Roman" w:eastAsia="Times New Roman" w:hAnsi="Times New Roman" w:cs="Times New Roman"/>
                <w:sz w:val="20"/>
                <w:szCs w:val="20"/>
              </w:rPr>
              <w:t xml:space="preserve"> (AML) receiving high- dose cytarabine during induction: ECOG 3997</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Jul-06</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34</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441"/>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16117903</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Phase II clinical trial on China manufactured recombinant human interleukin-11 derivative in the prevention and treatment of chemotherapy-induced thrombocytopenia</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Jun-05</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100</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216"/>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15853214</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A clinical study of YM 294 (rhlL-11) in patients with </w:t>
            </w:r>
            <w:proofErr w:type="spellStart"/>
            <w:r w:rsidRPr="00300E3E">
              <w:rPr>
                <w:rFonts w:ascii="Times New Roman" w:eastAsia="Times New Roman" w:hAnsi="Times New Roman" w:cs="Times New Roman"/>
                <w:sz w:val="20"/>
                <w:szCs w:val="20"/>
              </w:rPr>
              <w:t>gynecologic</w:t>
            </w:r>
            <w:proofErr w:type="spellEnd"/>
            <w:r w:rsidRPr="00300E3E">
              <w:rPr>
                <w:rFonts w:ascii="Times New Roman" w:eastAsia="Times New Roman" w:hAnsi="Times New Roman" w:cs="Times New Roman"/>
                <w:sz w:val="20"/>
                <w:szCs w:val="20"/>
              </w:rPr>
              <w:t xml:space="preserve"> cancer</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Apr-05</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w:t>
            </w:r>
          </w:p>
        </w:tc>
        <w:tc>
          <w:tcPr>
            <w:tcW w:w="1560" w:type="dxa"/>
            <w:tcBorders>
              <w:top w:val="nil"/>
              <w:left w:val="nil"/>
              <w:bottom w:val="nil"/>
              <w:right w:val="nil"/>
            </w:tcBorders>
            <w:shd w:val="clear" w:color="auto" w:fill="auto"/>
          </w:tcPr>
          <w:p w:rsidR="00A56FB5" w:rsidRPr="00300E3E" w:rsidRDefault="00A56FB5" w:rsidP="00924C62">
            <w:pPr>
              <w:spacing w:line="240" w:lineRule="auto"/>
              <w:jc w:val="right"/>
              <w:rPr>
                <w:rFonts w:ascii="Times New Roman" w:eastAsia="Times New Roman" w:hAnsi="Times New Roman" w:cs="Times New Roman"/>
                <w:sz w:val="20"/>
                <w:szCs w:val="20"/>
              </w:rPr>
            </w:pPr>
          </w:p>
        </w:tc>
      </w:tr>
      <w:tr w:rsidR="00A56FB5" w:rsidRPr="00300E3E">
        <w:trPr>
          <w:trHeight w:val="18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15853215</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An early phase II clinical study of YM 294 (rhlL-11) in patients with solid </w:t>
            </w:r>
            <w:proofErr w:type="spellStart"/>
            <w:r w:rsidRPr="00300E3E">
              <w:rPr>
                <w:rFonts w:ascii="Times New Roman" w:eastAsia="Times New Roman" w:hAnsi="Times New Roman" w:cs="Times New Roman"/>
                <w:sz w:val="20"/>
                <w:szCs w:val="20"/>
              </w:rPr>
              <w:t>tumors</w:t>
            </w:r>
            <w:proofErr w:type="spellEnd"/>
            <w:r w:rsidRPr="00300E3E">
              <w:rPr>
                <w:rFonts w:ascii="Times New Roman" w:eastAsia="Times New Roman" w:hAnsi="Times New Roman" w:cs="Times New Roman"/>
                <w:sz w:val="20"/>
                <w:szCs w:val="20"/>
              </w:rPr>
              <w:t xml:space="preserve"> and malignant lymphoma</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Apr-05</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58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15606549</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Phase I/II dose escalation study of recombinant human interleukin-11 following </w:t>
            </w:r>
            <w:proofErr w:type="spellStart"/>
            <w:r w:rsidRPr="00300E3E">
              <w:rPr>
                <w:rFonts w:ascii="Times New Roman" w:eastAsia="Times New Roman" w:hAnsi="Times New Roman" w:cs="Times New Roman"/>
                <w:sz w:val="20"/>
                <w:szCs w:val="20"/>
              </w:rPr>
              <w:t>ifosfamide</w:t>
            </w:r>
            <w:proofErr w:type="spellEnd"/>
            <w:r w:rsidRPr="00300E3E">
              <w:rPr>
                <w:rFonts w:ascii="Times New Roman" w:eastAsia="Times New Roman" w:hAnsi="Times New Roman" w:cs="Times New Roman"/>
                <w:sz w:val="20"/>
                <w:szCs w:val="20"/>
              </w:rPr>
              <w:t>, carboplatin and etoposide in children, adolescents and young adults with solid tumours or lymphoma: a clinical, haematological and biological study</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Jan-05</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47</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261"/>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12478901</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Clinical study of rhIL-11 for prevention and treatment of chemotherapy-induced thrombocytopenia</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Aug-02</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109</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58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9923411</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 randomized trial of recombinant human interleukin-11 following autologous bone marrow transplantation with peripheral blood progenitor cell support in patients with breast cancer</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Nov-98</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80</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58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9363868</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Randomized placebo-controlled study of recombinant human interleukin-11 to prevent chemotherapy-induced thrombocytopenia in patients with breast cancer receiving dose-intensive cyclophosphamide and doxorubicin</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Nov-97</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77</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20"/>
        </w:trPr>
        <w:tc>
          <w:tcPr>
            <w:tcW w:w="7425" w:type="dxa"/>
            <w:gridSpan w:val="2"/>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t>Immune Thrombocytopenic Purpura</w:t>
            </w:r>
          </w:p>
        </w:tc>
        <w:tc>
          <w:tcPr>
            <w:tcW w:w="14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1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56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r>
      <w:tr w:rsidR="00A56FB5" w:rsidRPr="00300E3E">
        <w:trPr>
          <w:trHeight w:val="431"/>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26524046</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Therapeutic Efficacy of </w:t>
            </w:r>
            <w:proofErr w:type="spellStart"/>
            <w:r w:rsidRPr="00300E3E">
              <w:rPr>
                <w:rFonts w:ascii="Times New Roman" w:eastAsia="Times New Roman" w:hAnsi="Times New Roman" w:cs="Times New Roman"/>
                <w:sz w:val="20"/>
                <w:szCs w:val="20"/>
              </w:rPr>
              <w:t>Multigly-Cosidorum</w:t>
            </w:r>
            <w:proofErr w:type="spellEnd"/>
            <w:r w:rsidRPr="00300E3E">
              <w:rPr>
                <w:rFonts w:ascii="Times New Roman" w:eastAsia="Times New Roman" w:hAnsi="Times New Roman" w:cs="Times New Roman"/>
                <w:sz w:val="20"/>
                <w:szCs w:val="20"/>
              </w:rPr>
              <w:t xml:space="preserve"> Tripterygium Combined with rhIL-11 for Immune Thrombocytopenia</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Oct-15</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75</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06"/>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18401155</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Interleukin-11 for Treatment of Hepatitis C-Associated ITP</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Jan-08</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12</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261"/>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18928632</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Curative effect of rhIL-11 on 26 patients with </w:t>
            </w:r>
            <w:proofErr w:type="spellStart"/>
            <w:r w:rsidRPr="00300E3E">
              <w:rPr>
                <w:rFonts w:ascii="Times New Roman" w:eastAsia="Times New Roman" w:hAnsi="Times New Roman" w:cs="Times New Roman"/>
                <w:sz w:val="20"/>
                <w:szCs w:val="20"/>
              </w:rPr>
              <w:t>chromic</w:t>
            </w:r>
            <w:proofErr w:type="spellEnd"/>
            <w:r w:rsidRPr="00300E3E">
              <w:rPr>
                <w:rFonts w:ascii="Times New Roman" w:eastAsia="Times New Roman" w:hAnsi="Times New Roman" w:cs="Times New Roman"/>
                <w:sz w:val="20"/>
                <w:szCs w:val="20"/>
              </w:rPr>
              <w:t xml:space="preserve"> idiopathic thrombocytopenic purpura</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Oct-08</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26</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180"/>
        </w:trPr>
        <w:tc>
          <w:tcPr>
            <w:tcW w:w="1815" w:type="dxa"/>
            <w:tcBorders>
              <w:top w:val="nil"/>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11279623</w:t>
            </w:r>
          </w:p>
        </w:tc>
        <w:tc>
          <w:tcPr>
            <w:tcW w:w="5610" w:type="dxa"/>
            <w:tcBorders>
              <w:top w:val="nil"/>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 pilot study of rhuIL-11 treatment of refractory ITP</w:t>
            </w:r>
          </w:p>
        </w:tc>
        <w:tc>
          <w:tcPr>
            <w:tcW w:w="1440" w:type="dxa"/>
            <w:tcBorders>
              <w:top w:val="nil"/>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Mar-01</w:t>
            </w:r>
          </w:p>
        </w:tc>
        <w:tc>
          <w:tcPr>
            <w:tcW w:w="1140" w:type="dxa"/>
            <w:tcBorders>
              <w:top w:val="nil"/>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7</w:t>
            </w:r>
          </w:p>
        </w:tc>
        <w:tc>
          <w:tcPr>
            <w:tcW w:w="1560" w:type="dxa"/>
            <w:tcBorders>
              <w:top w:val="nil"/>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20"/>
        </w:trPr>
        <w:tc>
          <w:tcPr>
            <w:tcW w:w="1815"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lastRenderedPageBreak/>
              <w:t>Coagulopathy</w:t>
            </w:r>
          </w:p>
        </w:tc>
        <w:tc>
          <w:tcPr>
            <w:tcW w:w="561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4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1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56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r>
      <w:tr w:rsidR="00A56FB5" w:rsidRPr="00300E3E">
        <w:trPr>
          <w:trHeight w:val="386"/>
        </w:trPr>
        <w:tc>
          <w:tcPr>
            <w:tcW w:w="1815" w:type="dxa"/>
            <w:tcBorders>
              <w:top w:val="single" w:sz="4" w:space="0" w:color="000000"/>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NCT00994929</w:t>
            </w:r>
          </w:p>
        </w:tc>
        <w:tc>
          <w:tcPr>
            <w:tcW w:w="5610" w:type="dxa"/>
            <w:tcBorders>
              <w:top w:val="single" w:sz="4" w:space="0" w:color="000000"/>
              <w:left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Phase II Prospective Open-Label Trial of Recombinant Interleukin-11 in DDAVP-Unresponsive Von Willebrand</w:t>
            </w:r>
          </w:p>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Disease and Mild or Moderate </w:t>
            </w:r>
            <w:proofErr w:type="spellStart"/>
            <w:r w:rsidRPr="00300E3E">
              <w:rPr>
                <w:rFonts w:ascii="Times New Roman" w:eastAsia="Times New Roman" w:hAnsi="Times New Roman" w:cs="Times New Roman"/>
                <w:sz w:val="20"/>
                <w:szCs w:val="20"/>
              </w:rPr>
              <w:t>Hemophilia</w:t>
            </w:r>
            <w:proofErr w:type="spellEnd"/>
            <w:r w:rsidRPr="00300E3E">
              <w:rPr>
                <w:rFonts w:ascii="Times New Roman" w:eastAsia="Times New Roman" w:hAnsi="Times New Roman" w:cs="Times New Roman"/>
                <w:sz w:val="20"/>
                <w:szCs w:val="20"/>
              </w:rPr>
              <w:t xml:space="preserve"> A</w:t>
            </w:r>
          </w:p>
        </w:tc>
        <w:tc>
          <w:tcPr>
            <w:tcW w:w="1440" w:type="dxa"/>
            <w:tcBorders>
              <w:top w:val="single" w:sz="4" w:space="0" w:color="000000"/>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Apr-12</w:t>
            </w:r>
          </w:p>
        </w:tc>
        <w:tc>
          <w:tcPr>
            <w:tcW w:w="1140" w:type="dxa"/>
            <w:tcBorders>
              <w:top w:val="single" w:sz="4" w:space="0" w:color="000000"/>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9</w:t>
            </w:r>
          </w:p>
        </w:tc>
        <w:tc>
          <w:tcPr>
            <w:tcW w:w="1560" w:type="dxa"/>
            <w:tcBorders>
              <w:top w:val="single" w:sz="4" w:space="0" w:color="000000"/>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24"/>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NCT00524225</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IL-11 in Adults With Von Willebrand Disease Undergoing Surgery</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Jun-12</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3</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Terminated</w:t>
            </w:r>
          </w:p>
        </w:tc>
      </w:tr>
      <w:tr w:rsidR="00A56FB5" w:rsidRPr="00300E3E">
        <w:trPr>
          <w:trHeight w:val="198"/>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21833452</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IL-11 in Women With Von Willebrand Disease and Refractory Menorrhagia</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Oct-11</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7</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126"/>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NCT00151125</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Phase II Study of IL-11 (</w:t>
            </w:r>
            <w:proofErr w:type="spellStart"/>
            <w:r w:rsidRPr="00300E3E">
              <w:rPr>
                <w:rFonts w:ascii="Times New Roman" w:eastAsia="Times New Roman" w:hAnsi="Times New Roman" w:cs="Times New Roman"/>
                <w:sz w:val="20"/>
                <w:szCs w:val="20"/>
              </w:rPr>
              <w:t>Neumega</w:t>
            </w:r>
            <w:proofErr w:type="spellEnd"/>
            <w:r w:rsidRPr="00300E3E">
              <w:rPr>
                <w:rFonts w:ascii="Times New Roman" w:eastAsia="Times New Roman" w:hAnsi="Times New Roman" w:cs="Times New Roman"/>
                <w:sz w:val="20"/>
                <w:szCs w:val="20"/>
              </w:rPr>
              <w:t>) in Von Willebrand Disease</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Dec-07</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12</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20"/>
        </w:trPr>
        <w:tc>
          <w:tcPr>
            <w:tcW w:w="7425" w:type="dxa"/>
            <w:gridSpan w:val="2"/>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t>Inflammatory Bowel Disease</w:t>
            </w:r>
          </w:p>
        </w:tc>
        <w:tc>
          <w:tcPr>
            <w:tcW w:w="14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1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56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r>
      <w:tr w:rsidR="00A56FB5" w:rsidRPr="00300E3E">
        <w:trPr>
          <w:trHeight w:val="32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16635225</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Randomized, double blind controlled trial of subcutaneous recombinant human interleukin-11 versus prednisolone in active Crohn's disease</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Apr-06</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51</w:t>
            </w:r>
          </w:p>
        </w:tc>
        <w:tc>
          <w:tcPr>
            <w:tcW w:w="1560" w:type="dxa"/>
            <w:tcBorders>
              <w:top w:val="nil"/>
              <w:left w:val="nil"/>
              <w:bottom w:val="nil"/>
              <w:right w:val="nil"/>
            </w:tcBorders>
            <w:shd w:val="clear" w:color="auto" w:fill="auto"/>
          </w:tcPr>
          <w:p w:rsidR="00A56FB5" w:rsidRPr="00300E3E" w:rsidRDefault="00A56FB5" w:rsidP="00924C62">
            <w:pPr>
              <w:spacing w:line="240" w:lineRule="auto"/>
              <w:jc w:val="right"/>
              <w:rPr>
                <w:rFonts w:ascii="Times New Roman" w:eastAsia="Times New Roman" w:hAnsi="Times New Roman" w:cs="Times New Roman"/>
                <w:sz w:val="20"/>
                <w:szCs w:val="20"/>
              </w:rPr>
            </w:pPr>
          </w:p>
        </w:tc>
      </w:tr>
      <w:tr w:rsidR="00A56FB5" w:rsidRPr="00300E3E">
        <w:trPr>
          <w:trHeight w:val="216"/>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NCT00038922</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Study Evaluating rhIL-11 in Left-Sided Ulcerative Colitis</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Jan-00</w:t>
            </w:r>
          </w:p>
        </w:tc>
        <w:tc>
          <w:tcPr>
            <w:tcW w:w="1140" w:type="dxa"/>
            <w:tcBorders>
              <w:top w:val="nil"/>
              <w:left w:val="nil"/>
              <w:bottom w:val="nil"/>
              <w:right w:val="nil"/>
            </w:tcBorders>
            <w:shd w:val="clear" w:color="auto" w:fill="auto"/>
          </w:tcPr>
          <w:p w:rsidR="00A56FB5" w:rsidRPr="00300E3E" w:rsidRDefault="00A56FB5" w:rsidP="00924C62">
            <w:pPr>
              <w:spacing w:line="240" w:lineRule="auto"/>
              <w:jc w:val="right"/>
              <w:rPr>
                <w:rFonts w:ascii="Times New Roman" w:eastAsia="Times New Roman" w:hAnsi="Times New Roman" w:cs="Times New Roman"/>
                <w:sz w:val="20"/>
                <w:szCs w:val="20"/>
              </w:rPr>
            </w:pP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Terminated</w:t>
            </w:r>
          </w:p>
        </w:tc>
      </w:tr>
      <w:tr w:rsidR="00A56FB5" w:rsidRPr="00300E3E">
        <w:trPr>
          <w:trHeight w:val="27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NCT00040521</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Study Evaluating rhIL-11 in Active Crohn's Disease</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Oct-03</w:t>
            </w:r>
          </w:p>
        </w:tc>
        <w:tc>
          <w:tcPr>
            <w:tcW w:w="1140" w:type="dxa"/>
            <w:tcBorders>
              <w:top w:val="nil"/>
              <w:left w:val="nil"/>
              <w:bottom w:val="nil"/>
              <w:right w:val="nil"/>
            </w:tcBorders>
            <w:shd w:val="clear" w:color="auto" w:fill="auto"/>
          </w:tcPr>
          <w:p w:rsidR="00A56FB5" w:rsidRPr="00300E3E" w:rsidRDefault="00A56FB5" w:rsidP="00924C62">
            <w:pPr>
              <w:spacing w:line="240" w:lineRule="auto"/>
              <w:jc w:val="right"/>
              <w:rPr>
                <w:rFonts w:ascii="Times New Roman" w:eastAsia="Times New Roman" w:hAnsi="Times New Roman" w:cs="Times New Roman"/>
                <w:sz w:val="20"/>
                <w:szCs w:val="20"/>
              </w:rPr>
            </w:pP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6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10381910</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Preliminary evaluation of safety and activity of recombinant human interleukin 11 in patients with active Crohn's disease</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Jul-99</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76</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288"/>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11876692</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Randomized, controlled trial of recombinant human interleukin-11 in patients with active Crohn's disease</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Mar-98</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148</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20"/>
        </w:trPr>
        <w:tc>
          <w:tcPr>
            <w:tcW w:w="1815"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t>Malignancy</w:t>
            </w:r>
          </w:p>
        </w:tc>
        <w:tc>
          <w:tcPr>
            <w:tcW w:w="561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4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1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56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r>
      <w:tr w:rsidR="00A56FB5" w:rsidRPr="00300E3E">
        <w:trPr>
          <w:trHeight w:val="494"/>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29798418</w:t>
            </w:r>
          </w:p>
        </w:tc>
        <w:tc>
          <w:tcPr>
            <w:tcW w:w="5610" w:type="dxa"/>
            <w:tcBorders>
              <w:top w:val="nil"/>
              <w:left w:val="nil"/>
              <w:right w:val="nil"/>
            </w:tcBorders>
            <w:shd w:val="clear" w:color="auto" w:fill="auto"/>
          </w:tcPr>
          <w:p w:rsidR="00A56FB5" w:rsidRPr="00300E3E" w:rsidRDefault="00000000" w:rsidP="00924C62">
            <w:pPr>
              <w:spacing w:line="240" w:lineRule="auto"/>
              <w:jc w:val="both"/>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Effect of recombinant human interleukin-11 treatment on prognosis of patients with </w:t>
            </w:r>
            <w:proofErr w:type="spellStart"/>
            <w:r w:rsidRPr="00300E3E">
              <w:rPr>
                <w:rFonts w:ascii="Times New Roman" w:eastAsia="Times New Roman" w:hAnsi="Times New Roman" w:cs="Times New Roman"/>
                <w:sz w:val="20"/>
                <w:szCs w:val="20"/>
              </w:rPr>
              <w:t>radiochemoradiotherapy</w:t>
            </w:r>
            <w:proofErr w:type="spellEnd"/>
            <w:r w:rsidRPr="00300E3E">
              <w:rPr>
                <w:rFonts w:ascii="Times New Roman" w:eastAsia="Times New Roman" w:hAnsi="Times New Roman" w:cs="Times New Roman"/>
                <w:sz w:val="20"/>
                <w:szCs w:val="20"/>
              </w:rPr>
              <w:t xml:space="preserve"> in the treatment of nasopharyngeal carcinoma</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Jun-17</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78</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6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21418991</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Effects of recombinant human interleukin 11 on </w:t>
            </w:r>
            <w:proofErr w:type="spellStart"/>
            <w:r w:rsidRPr="00300E3E">
              <w:rPr>
                <w:rFonts w:ascii="Times New Roman" w:eastAsia="Times New Roman" w:hAnsi="Times New Roman" w:cs="Times New Roman"/>
                <w:sz w:val="20"/>
                <w:szCs w:val="20"/>
              </w:rPr>
              <w:t>hematological</w:t>
            </w:r>
            <w:proofErr w:type="spellEnd"/>
            <w:r w:rsidRPr="00300E3E">
              <w:rPr>
                <w:rFonts w:ascii="Times New Roman" w:eastAsia="Times New Roman" w:hAnsi="Times New Roman" w:cs="Times New Roman"/>
                <w:sz w:val="20"/>
                <w:szCs w:val="20"/>
              </w:rPr>
              <w:t xml:space="preserve"> malignancy after allogeneic hematopoietic cell transplantation</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Jun-10</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48</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58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NCT00012298</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proofErr w:type="spellStart"/>
            <w:r w:rsidRPr="00300E3E">
              <w:rPr>
                <w:rFonts w:ascii="Times New Roman" w:eastAsia="Times New Roman" w:hAnsi="Times New Roman" w:cs="Times New Roman"/>
                <w:sz w:val="20"/>
                <w:szCs w:val="20"/>
              </w:rPr>
              <w:t>Radiolabeled</w:t>
            </w:r>
            <w:proofErr w:type="spellEnd"/>
            <w:r w:rsidRPr="00300E3E">
              <w:rPr>
                <w:rFonts w:ascii="Times New Roman" w:eastAsia="Times New Roman" w:hAnsi="Times New Roman" w:cs="Times New Roman"/>
                <w:sz w:val="20"/>
                <w:szCs w:val="20"/>
              </w:rPr>
              <w:t xml:space="preserve"> Monoclonal Antibody Plus Rituximab </w:t>
            </w:r>
            <w:proofErr w:type="gramStart"/>
            <w:r w:rsidRPr="00300E3E">
              <w:rPr>
                <w:rFonts w:ascii="Times New Roman" w:eastAsia="Times New Roman" w:hAnsi="Times New Roman" w:cs="Times New Roman"/>
                <w:sz w:val="20"/>
                <w:szCs w:val="20"/>
              </w:rPr>
              <w:t>With</w:t>
            </w:r>
            <w:proofErr w:type="gramEnd"/>
            <w:r w:rsidRPr="00300E3E">
              <w:rPr>
                <w:rFonts w:ascii="Times New Roman" w:eastAsia="Times New Roman" w:hAnsi="Times New Roman" w:cs="Times New Roman"/>
                <w:sz w:val="20"/>
                <w:szCs w:val="20"/>
              </w:rPr>
              <w:t xml:space="preserve"> and Without Filgrastim and Interleukin-11 in Treating Patients With Relapsed or Refractory Non-Hodgkin's Lymphoma</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Apr-10</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81</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Terminated</w:t>
            </w:r>
          </w:p>
        </w:tc>
      </w:tr>
      <w:tr w:rsidR="00A56FB5" w:rsidRPr="00300E3E">
        <w:trPr>
          <w:trHeight w:val="58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16644288</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Modulation of the systemic inflammatory response by recombinant human interleukin-11: A prospective randomized placebo controlled clinical study in patients with </w:t>
            </w:r>
            <w:proofErr w:type="spellStart"/>
            <w:r w:rsidRPr="00300E3E">
              <w:rPr>
                <w:rFonts w:ascii="Times New Roman" w:eastAsia="Times New Roman" w:hAnsi="Times New Roman" w:cs="Times New Roman"/>
                <w:sz w:val="20"/>
                <w:szCs w:val="20"/>
              </w:rPr>
              <w:t>hematological</w:t>
            </w:r>
            <w:proofErr w:type="spellEnd"/>
            <w:r w:rsidRPr="00300E3E">
              <w:rPr>
                <w:rFonts w:ascii="Times New Roman" w:eastAsia="Times New Roman" w:hAnsi="Times New Roman" w:cs="Times New Roman"/>
                <w:sz w:val="20"/>
                <w:szCs w:val="20"/>
              </w:rPr>
              <w:t xml:space="preserve"> malignancy</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Aug-06</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40</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58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12036860</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proofErr w:type="spellStart"/>
            <w:r w:rsidRPr="00300E3E">
              <w:rPr>
                <w:rFonts w:ascii="Times New Roman" w:eastAsia="Times New Roman" w:hAnsi="Times New Roman" w:cs="Times New Roman"/>
                <w:sz w:val="20"/>
                <w:szCs w:val="20"/>
              </w:rPr>
              <w:t>Gemtuzumab</w:t>
            </w:r>
            <w:proofErr w:type="spellEnd"/>
            <w:r w:rsidRPr="00300E3E">
              <w:rPr>
                <w:rFonts w:ascii="Times New Roman" w:eastAsia="Times New Roman" w:hAnsi="Times New Roman" w:cs="Times New Roman"/>
                <w:sz w:val="20"/>
                <w:szCs w:val="20"/>
              </w:rPr>
              <w:t xml:space="preserve"> </w:t>
            </w:r>
            <w:proofErr w:type="spellStart"/>
            <w:r w:rsidRPr="00300E3E">
              <w:rPr>
                <w:rFonts w:ascii="Times New Roman" w:eastAsia="Times New Roman" w:hAnsi="Times New Roman" w:cs="Times New Roman"/>
                <w:sz w:val="20"/>
                <w:szCs w:val="20"/>
              </w:rPr>
              <w:t>ozogamicin</w:t>
            </w:r>
            <w:proofErr w:type="spellEnd"/>
            <w:r w:rsidRPr="00300E3E">
              <w:rPr>
                <w:rFonts w:ascii="Times New Roman" w:eastAsia="Times New Roman" w:hAnsi="Times New Roman" w:cs="Times New Roman"/>
                <w:sz w:val="20"/>
                <w:szCs w:val="20"/>
              </w:rPr>
              <w:t xml:space="preserve"> with or without interleukin 11 in patients 65 years of age or older with untreated acute myeloid </w:t>
            </w:r>
            <w:proofErr w:type="spellStart"/>
            <w:r w:rsidRPr="00300E3E">
              <w:rPr>
                <w:rFonts w:ascii="Times New Roman" w:eastAsia="Times New Roman" w:hAnsi="Times New Roman" w:cs="Times New Roman"/>
                <w:sz w:val="20"/>
                <w:szCs w:val="20"/>
              </w:rPr>
              <w:t>leukemia</w:t>
            </w:r>
            <w:proofErr w:type="spellEnd"/>
            <w:r w:rsidRPr="00300E3E">
              <w:rPr>
                <w:rFonts w:ascii="Times New Roman" w:eastAsia="Times New Roman" w:hAnsi="Times New Roman" w:cs="Times New Roman"/>
                <w:sz w:val="20"/>
                <w:szCs w:val="20"/>
              </w:rPr>
              <w:t xml:space="preserve"> and high-risk myelodysplastic syndrome: comparison with idarubicin plus continuous-infusion, high-dose cytosine arabinoside</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Jun-02</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51</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58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lastRenderedPageBreak/>
              <w:t>PMID: 12559860</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Recombinant human interleukin 11 and bacterial infection in patients with haematological malignant May-02 disease undergoing chemotherapy: a double-blind placebo-controlled randomised trial</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Jan-03</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40</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20"/>
        </w:trPr>
        <w:tc>
          <w:tcPr>
            <w:tcW w:w="7425" w:type="dxa"/>
            <w:gridSpan w:val="2"/>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t>Bone Marrow Failure</w:t>
            </w:r>
          </w:p>
        </w:tc>
        <w:tc>
          <w:tcPr>
            <w:tcW w:w="14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1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56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r>
      <w:tr w:rsidR="00A56FB5" w:rsidRPr="00300E3E">
        <w:trPr>
          <w:trHeight w:val="278"/>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17071475</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Phase II study of low-dose interleukin-11 in patients with myelodysplastic syndrome</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Apr-06</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35</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234"/>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11689585</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Pilot study of low-dose interleukin-11 in patients with bone marrow failure</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Nov-01</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16</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78"/>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11464987</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Feasibility study of IL-11 and granulocyte colony-stimulating factor after myelosuppressive chemotherapy to mobilize peripheral blood stem cells from heavily pretreated patients</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Dec-98</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42</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2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t>Psoriasis</w:t>
            </w:r>
          </w:p>
        </w:tc>
        <w:tc>
          <w:tcPr>
            <w:tcW w:w="5610" w:type="dxa"/>
            <w:tcBorders>
              <w:top w:val="nil"/>
              <w:left w:val="nil"/>
              <w:bottom w:val="nil"/>
              <w:right w:val="nil"/>
            </w:tcBorders>
            <w:shd w:val="clear" w:color="auto" w:fill="auto"/>
          </w:tcPr>
          <w:p w:rsidR="00A56FB5" w:rsidRPr="00300E3E" w:rsidRDefault="00A56FB5" w:rsidP="00924C62">
            <w:pPr>
              <w:spacing w:line="240" w:lineRule="auto"/>
              <w:rPr>
                <w:rFonts w:ascii="Times New Roman" w:eastAsia="Times New Roman" w:hAnsi="Times New Roman" w:cs="Times New Roman"/>
                <w:b/>
                <w:sz w:val="20"/>
                <w:szCs w:val="20"/>
              </w:rPr>
            </w:pPr>
          </w:p>
        </w:tc>
        <w:tc>
          <w:tcPr>
            <w:tcW w:w="1440" w:type="dxa"/>
            <w:tcBorders>
              <w:top w:val="nil"/>
              <w:left w:val="nil"/>
              <w:bottom w:val="nil"/>
              <w:right w:val="nil"/>
            </w:tcBorders>
            <w:shd w:val="clear" w:color="auto" w:fill="auto"/>
          </w:tcPr>
          <w:p w:rsidR="00A56FB5" w:rsidRPr="00300E3E" w:rsidRDefault="00A56FB5" w:rsidP="00924C62">
            <w:pPr>
              <w:spacing w:line="240" w:lineRule="auto"/>
              <w:jc w:val="right"/>
              <w:rPr>
                <w:rFonts w:ascii="Times New Roman" w:eastAsia="Times New Roman" w:hAnsi="Times New Roman" w:cs="Times New Roman"/>
                <w:sz w:val="20"/>
                <w:szCs w:val="20"/>
              </w:rPr>
            </w:pPr>
          </w:p>
        </w:tc>
        <w:tc>
          <w:tcPr>
            <w:tcW w:w="1140" w:type="dxa"/>
            <w:tcBorders>
              <w:top w:val="nil"/>
              <w:left w:val="nil"/>
              <w:bottom w:val="nil"/>
              <w:right w:val="nil"/>
            </w:tcBorders>
            <w:shd w:val="clear" w:color="auto" w:fill="auto"/>
          </w:tcPr>
          <w:p w:rsidR="00A56FB5" w:rsidRPr="00300E3E" w:rsidRDefault="00A56FB5" w:rsidP="00924C62">
            <w:pPr>
              <w:spacing w:line="240" w:lineRule="auto"/>
              <w:jc w:val="right"/>
              <w:rPr>
                <w:rFonts w:ascii="Times New Roman" w:eastAsia="Times New Roman" w:hAnsi="Times New Roman" w:cs="Times New Roman"/>
                <w:sz w:val="20"/>
                <w:szCs w:val="20"/>
              </w:rPr>
            </w:pPr>
          </w:p>
        </w:tc>
        <w:tc>
          <w:tcPr>
            <w:tcW w:w="1560" w:type="dxa"/>
            <w:tcBorders>
              <w:top w:val="nil"/>
              <w:left w:val="nil"/>
              <w:bottom w:val="nil"/>
              <w:right w:val="nil"/>
            </w:tcBorders>
            <w:shd w:val="clear" w:color="auto" w:fill="auto"/>
          </w:tcPr>
          <w:p w:rsidR="00A56FB5" w:rsidRPr="00300E3E" w:rsidRDefault="00A56FB5" w:rsidP="00924C62">
            <w:pPr>
              <w:spacing w:line="240" w:lineRule="auto"/>
              <w:jc w:val="right"/>
              <w:rPr>
                <w:rFonts w:ascii="Times New Roman" w:eastAsia="Times New Roman" w:hAnsi="Times New Roman" w:cs="Times New Roman"/>
                <w:sz w:val="20"/>
                <w:szCs w:val="20"/>
              </w:rPr>
            </w:pPr>
          </w:p>
        </w:tc>
      </w:tr>
      <w:tr w:rsidR="00A56FB5" w:rsidRPr="00300E3E">
        <w:trPr>
          <w:trHeight w:val="580"/>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10587516</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Interleukin-11 therapy selectively downregulates type I cytokine proinflammatory pathways in psoriasis lesions</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Dec-99</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12</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92"/>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24750799</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Immunomodulating treatment with low dose interleukin-4, interleukin-10 and interleukin-11 in psoriasis vulgaris</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Jan-14</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41</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20"/>
        </w:trPr>
        <w:tc>
          <w:tcPr>
            <w:tcW w:w="1815"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t>Mucositis</w:t>
            </w:r>
          </w:p>
        </w:tc>
        <w:tc>
          <w:tcPr>
            <w:tcW w:w="561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4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1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56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r>
      <w:tr w:rsidR="00A56FB5" w:rsidRPr="00300E3E">
        <w:trPr>
          <w:trHeight w:val="82"/>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NCT03720340</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xml:space="preserve">Interleukin-11 Can Prevent and Treat of Radioactive Oral </w:t>
            </w:r>
            <w:proofErr w:type="spellStart"/>
            <w:r w:rsidRPr="00300E3E">
              <w:rPr>
                <w:rFonts w:ascii="Times New Roman" w:eastAsia="Times New Roman" w:hAnsi="Times New Roman" w:cs="Times New Roman"/>
                <w:sz w:val="20"/>
                <w:szCs w:val="20"/>
              </w:rPr>
              <w:t>Mucitis</w:t>
            </w:r>
            <w:proofErr w:type="spellEnd"/>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Aug-22</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300</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Unknown status</w:t>
            </w:r>
          </w:p>
        </w:tc>
      </w:tr>
      <w:tr w:rsidR="00A56FB5" w:rsidRPr="00300E3E">
        <w:trPr>
          <w:trHeight w:val="396"/>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35906582</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 prospective interventional study of recombinant human interleukin-11 mouthwash in chemotherapy-induced oral Mar-22 mucositis</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Jul-22</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112</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432"/>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11919725</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 phase I/II double-blind, placebo-controlled study of recombinant human interleukin-11 for mucositis and acute GVHD prevention in allogeneic stem cell transplantation</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Mar-02</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13</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320"/>
        </w:trPr>
        <w:tc>
          <w:tcPr>
            <w:tcW w:w="1815"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b/>
                <w:sz w:val="20"/>
                <w:szCs w:val="20"/>
              </w:rPr>
            </w:pPr>
            <w:r w:rsidRPr="00300E3E">
              <w:rPr>
                <w:rFonts w:ascii="Times New Roman" w:eastAsia="Times New Roman" w:hAnsi="Times New Roman" w:cs="Times New Roman"/>
                <w:b/>
                <w:sz w:val="20"/>
                <w:szCs w:val="20"/>
              </w:rPr>
              <w:t>Other</w:t>
            </w:r>
          </w:p>
        </w:tc>
        <w:tc>
          <w:tcPr>
            <w:tcW w:w="561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4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14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c>
          <w:tcPr>
            <w:tcW w:w="1560" w:type="dxa"/>
            <w:tcBorders>
              <w:top w:val="single" w:sz="4" w:space="0" w:color="000000"/>
              <w:left w:val="nil"/>
              <w:bottom w:val="single" w:sz="4" w:space="0" w:color="000000"/>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 </w:t>
            </w:r>
          </w:p>
        </w:tc>
      </w:tr>
      <w:tr w:rsidR="00A56FB5" w:rsidRPr="00300E3E">
        <w:trPr>
          <w:trHeight w:val="242"/>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26796134</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Four cases of investigational therapy with interleukin-11 against acute myocardial infarction</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Jan-16</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4</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468"/>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11438043</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Results of a phase-I/II randomized, masked, placebo-controlled trial of recombinant human interleukin-11 (rhIL-11) Jun-01 in the treatment of subjects with active rheumatoid arthritis</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Apr-01</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91</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r w:rsidR="00A56FB5" w:rsidRPr="00300E3E">
        <w:trPr>
          <w:trHeight w:val="162"/>
        </w:trPr>
        <w:tc>
          <w:tcPr>
            <w:tcW w:w="1815"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PMID: 24613110</w:t>
            </w:r>
          </w:p>
        </w:tc>
        <w:tc>
          <w:tcPr>
            <w:tcW w:w="5610" w:type="dxa"/>
            <w:tcBorders>
              <w:top w:val="nil"/>
              <w:left w:val="nil"/>
              <w:bottom w:val="nil"/>
              <w:right w:val="nil"/>
            </w:tcBorders>
            <w:shd w:val="clear" w:color="auto" w:fill="auto"/>
          </w:tcPr>
          <w:p w:rsidR="00A56FB5" w:rsidRPr="00300E3E" w:rsidRDefault="00000000" w:rsidP="00924C62">
            <w:pPr>
              <w:spacing w:line="240" w:lineRule="auto"/>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Randomized clinical trial of human interleukin-11 in Dengue fever-associated thrombocytopenia</w:t>
            </w:r>
          </w:p>
        </w:tc>
        <w:tc>
          <w:tcPr>
            <w:tcW w:w="14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Mar-14</w:t>
            </w:r>
          </w:p>
        </w:tc>
        <w:tc>
          <w:tcPr>
            <w:tcW w:w="114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40</w:t>
            </w:r>
          </w:p>
        </w:tc>
        <w:tc>
          <w:tcPr>
            <w:tcW w:w="1560" w:type="dxa"/>
            <w:tcBorders>
              <w:top w:val="nil"/>
              <w:left w:val="nil"/>
              <w:bottom w:val="nil"/>
              <w:right w:val="nil"/>
            </w:tcBorders>
            <w:shd w:val="clear" w:color="auto" w:fill="auto"/>
          </w:tcPr>
          <w:p w:rsidR="00A56FB5" w:rsidRPr="00300E3E" w:rsidRDefault="00000000" w:rsidP="00924C62">
            <w:pPr>
              <w:spacing w:line="240" w:lineRule="auto"/>
              <w:jc w:val="right"/>
              <w:rPr>
                <w:rFonts w:ascii="Times New Roman" w:eastAsia="Times New Roman" w:hAnsi="Times New Roman" w:cs="Times New Roman"/>
                <w:sz w:val="20"/>
                <w:szCs w:val="20"/>
              </w:rPr>
            </w:pPr>
            <w:r w:rsidRPr="00300E3E">
              <w:rPr>
                <w:rFonts w:ascii="Times New Roman" w:eastAsia="Times New Roman" w:hAnsi="Times New Roman" w:cs="Times New Roman"/>
                <w:sz w:val="20"/>
                <w:szCs w:val="20"/>
              </w:rPr>
              <w:t>Completed</w:t>
            </w:r>
          </w:p>
        </w:tc>
      </w:tr>
    </w:tbl>
    <w:p w:rsidR="00A56FB5" w:rsidRPr="00300E3E" w:rsidRDefault="00000000" w:rsidP="0008118D">
      <w:pPr>
        <w:spacing w:line="480" w:lineRule="auto"/>
        <w:jc w:val="both"/>
        <w:rPr>
          <w:rFonts w:ascii="Times New Roman" w:eastAsia="Times New Roman" w:hAnsi="Times New Roman" w:cs="Times New Roman"/>
          <w:b/>
          <w:sz w:val="24"/>
          <w:szCs w:val="24"/>
        </w:rPr>
        <w:sectPr w:rsidR="00A56FB5" w:rsidRPr="00300E3E" w:rsidSect="0008118D">
          <w:pgSz w:w="16834" w:h="11909" w:orient="landscape"/>
          <w:pgMar w:top="1440" w:right="1440" w:bottom="1440" w:left="1440" w:header="720" w:footer="720" w:gutter="0"/>
          <w:lnNumType w:countBy="1"/>
          <w:cols w:space="720"/>
        </w:sectPr>
      </w:pPr>
      <w:r w:rsidRPr="00300E3E">
        <w:rPr>
          <w:rFonts w:ascii="Times New Roman" w:eastAsia="Times New Roman" w:hAnsi="Times New Roman" w:cs="Times New Roman"/>
          <w:b/>
          <w:sz w:val="24"/>
          <w:szCs w:val="24"/>
        </w:rPr>
        <w:t>Supplementary table 1. Clinical studies involving administration of rhIL11</w:t>
      </w:r>
    </w:p>
    <w:p w:rsidR="00A56FB5" w:rsidRPr="00300E3E" w:rsidRDefault="00A56FB5" w:rsidP="0008118D">
      <w:pPr>
        <w:widowControl w:val="0"/>
        <w:spacing w:line="480" w:lineRule="auto"/>
        <w:rPr>
          <w:rFonts w:ascii="Times New Roman" w:eastAsia="Times New Roman" w:hAnsi="Times New Roman" w:cs="Times New Roman"/>
          <w:b/>
          <w:sz w:val="24"/>
          <w:szCs w:val="24"/>
        </w:rPr>
      </w:pPr>
    </w:p>
    <w:tbl>
      <w:tblPr>
        <w:tblStyle w:val="a4"/>
        <w:tblW w:w="9781" w:type="dxa"/>
        <w:jc w:val="center"/>
        <w:tblLayout w:type="fixed"/>
        <w:tblLook w:val="0400" w:firstRow="0" w:lastRow="0" w:firstColumn="0" w:lastColumn="0" w:noHBand="0" w:noVBand="1"/>
      </w:tblPr>
      <w:tblGrid>
        <w:gridCol w:w="2100"/>
        <w:gridCol w:w="4279"/>
        <w:gridCol w:w="3402"/>
      </w:tblGrid>
      <w:tr w:rsidR="00A56FB5" w:rsidRPr="00300E3E" w:rsidTr="00924C62">
        <w:trPr>
          <w:trHeight w:val="460"/>
          <w:jc w:val="center"/>
        </w:trPr>
        <w:tc>
          <w:tcPr>
            <w:tcW w:w="2100" w:type="dxa"/>
            <w:tcBorders>
              <w:bottom w:val="single" w:sz="12" w:space="0" w:color="000000"/>
            </w:tcBorders>
            <w:tcMar>
              <w:top w:w="20" w:type="dxa"/>
              <w:left w:w="20" w:type="dxa"/>
              <w:bottom w:w="10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b/>
                <w:sz w:val="24"/>
                <w:szCs w:val="24"/>
              </w:rPr>
              <w:t>Name</w:t>
            </w:r>
          </w:p>
        </w:tc>
        <w:tc>
          <w:tcPr>
            <w:tcW w:w="4279" w:type="dxa"/>
            <w:tcBorders>
              <w:bottom w:val="single" w:sz="12" w:space="0" w:color="000000"/>
            </w:tcBorders>
            <w:tcMar>
              <w:top w:w="0" w:type="dxa"/>
              <w:left w:w="20" w:type="dxa"/>
              <w:bottom w:w="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b/>
                <w:sz w:val="24"/>
                <w:szCs w:val="24"/>
              </w:rPr>
              <w:t>Sequence</w:t>
            </w:r>
          </w:p>
        </w:tc>
        <w:tc>
          <w:tcPr>
            <w:tcW w:w="3402" w:type="dxa"/>
            <w:tcBorders>
              <w:bottom w:val="single" w:sz="12" w:space="0" w:color="000000"/>
            </w:tcBorders>
            <w:tcMar>
              <w:top w:w="0" w:type="dxa"/>
              <w:left w:w="20" w:type="dxa"/>
              <w:bottom w:w="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b/>
                <w:sz w:val="24"/>
                <w:szCs w:val="24"/>
              </w:rPr>
              <w:t>Primer Type</w:t>
            </w:r>
          </w:p>
        </w:tc>
      </w:tr>
      <w:tr w:rsidR="00A56FB5" w:rsidRPr="00300E3E" w:rsidTr="00924C62">
        <w:trPr>
          <w:trHeight w:val="345"/>
          <w:jc w:val="center"/>
        </w:trPr>
        <w:tc>
          <w:tcPr>
            <w:tcW w:w="2100" w:type="dxa"/>
            <w:tcBorders>
              <w:top w:val="single" w:sz="12" w:space="0" w:color="000000"/>
            </w:tcBorders>
            <w:tcMar>
              <w:top w:w="0" w:type="dxa"/>
              <w:left w:w="20" w:type="dxa"/>
              <w:bottom w:w="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i/>
                <w:sz w:val="24"/>
                <w:szCs w:val="24"/>
              </w:rPr>
              <w:t>Il11ra1</w:t>
            </w:r>
            <w:r w:rsidRPr="00300E3E">
              <w:rPr>
                <w:rFonts w:ascii="Times New Roman" w:eastAsia="Times New Roman" w:hAnsi="Times New Roman" w:cs="Times New Roman"/>
                <w:sz w:val="24"/>
                <w:szCs w:val="24"/>
              </w:rPr>
              <w:t xml:space="preserve"> Forward</w:t>
            </w:r>
          </w:p>
        </w:tc>
        <w:tc>
          <w:tcPr>
            <w:tcW w:w="4279" w:type="dxa"/>
            <w:tcBorders>
              <w:top w:val="single" w:sz="12" w:space="0" w:color="000000"/>
            </w:tcBorders>
            <w:tcMar>
              <w:top w:w="0" w:type="dxa"/>
              <w:left w:w="20" w:type="dxa"/>
              <w:bottom w:w="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CATTACCTACACATCCTTCCC</w:t>
            </w:r>
          </w:p>
        </w:tc>
        <w:tc>
          <w:tcPr>
            <w:tcW w:w="3402" w:type="dxa"/>
            <w:tcBorders>
              <w:top w:val="single" w:sz="12" w:space="0" w:color="000000"/>
            </w:tcBorders>
            <w:tcMar>
              <w:top w:w="0" w:type="dxa"/>
              <w:left w:w="20" w:type="dxa"/>
              <w:bottom w:w="0" w:type="dxa"/>
              <w:right w:w="20" w:type="dxa"/>
            </w:tcMar>
            <w:vAlign w:val="bottom"/>
          </w:tcPr>
          <w:p w:rsidR="00A56FB5" w:rsidRPr="00300E3E" w:rsidRDefault="00000000" w:rsidP="00924C62">
            <w:pPr>
              <w:spacing w:line="240" w:lineRule="auto"/>
              <w:jc w:val="right"/>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Transgene Forward</w:t>
            </w:r>
          </w:p>
        </w:tc>
      </w:tr>
      <w:tr w:rsidR="00A56FB5" w:rsidRPr="00300E3E" w:rsidTr="00924C62">
        <w:trPr>
          <w:trHeight w:val="315"/>
          <w:jc w:val="center"/>
        </w:trPr>
        <w:tc>
          <w:tcPr>
            <w:tcW w:w="2100" w:type="dxa"/>
            <w:tcBorders>
              <w:bottom w:val="single" w:sz="6" w:space="0" w:color="000000"/>
            </w:tcBorders>
            <w:tcMar>
              <w:top w:w="0" w:type="dxa"/>
              <w:left w:w="20" w:type="dxa"/>
              <w:bottom w:w="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i/>
                <w:sz w:val="24"/>
                <w:szCs w:val="24"/>
              </w:rPr>
              <w:t>Il11ra1</w:t>
            </w:r>
            <w:r w:rsidRPr="00300E3E">
              <w:rPr>
                <w:rFonts w:ascii="Times New Roman" w:eastAsia="Times New Roman" w:hAnsi="Times New Roman" w:cs="Times New Roman"/>
                <w:sz w:val="24"/>
                <w:szCs w:val="24"/>
              </w:rPr>
              <w:t xml:space="preserve"> Reverse</w:t>
            </w:r>
          </w:p>
        </w:tc>
        <w:tc>
          <w:tcPr>
            <w:tcW w:w="4279" w:type="dxa"/>
            <w:tcBorders>
              <w:bottom w:val="single" w:sz="6" w:space="0" w:color="000000"/>
            </w:tcBorders>
            <w:tcMar>
              <w:top w:w="0" w:type="dxa"/>
              <w:left w:w="20" w:type="dxa"/>
              <w:bottom w:w="0" w:type="dxa"/>
              <w:right w:w="20" w:type="dxa"/>
            </w:tcMar>
            <w:vAlign w:val="bottom"/>
          </w:tcPr>
          <w:p w:rsidR="00A56FB5" w:rsidRPr="00300E3E" w:rsidRDefault="00000000" w:rsidP="00924C62">
            <w:pPr>
              <w:spacing w:line="240" w:lineRule="auto"/>
              <w:ind w:right="-99"/>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CCTCCCACACTCAGATTAAGA</w:t>
            </w:r>
          </w:p>
        </w:tc>
        <w:tc>
          <w:tcPr>
            <w:tcW w:w="3402" w:type="dxa"/>
            <w:tcBorders>
              <w:bottom w:val="single" w:sz="6" w:space="0" w:color="000000"/>
            </w:tcBorders>
            <w:tcMar>
              <w:top w:w="0" w:type="dxa"/>
              <w:left w:w="20" w:type="dxa"/>
              <w:bottom w:w="0" w:type="dxa"/>
              <w:right w:w="20" w:type="dxa"/>
            </w:tcMar>
            <w:vAlign w:val="bottom"/>
          </w:tcPr>
          <w:p w:rsidR="00A56FB5" w:rsidRPr="00300E3E" w:rsidRDefault="00000000" w:rsidP="00924C62">
            <w:pPr>
              <w:spacing w:line="240" w:lineRule="auto"/>
              <w:jc w:val="right"/>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Transgene Reverse</w:t>
            </w:r>
          </w:p>
        </w:tc>
      </w:tr>
      <w:tr w:rsidR="00A56FB5" w:rsidRPr="00300E3E" w:rsidTr="00924C62">
        <w:trPr>
          <w:trHeight w:val="315"/>
          <w:jc w:val="center"/>
        </w:trPr>
        <w:tc>
          <w:tcPr>
            <w:tcW w:w="2100" w:type="dxa"/>
            <w:tcBorders>
              <w:top w:val="single" w:sz="6" w:space="0" w:color="000000"/>
            </w:tcBorders>
            <w:tcMar>
              <w:top w:w="0" w:type="dxa"/>
              <w:left w:w="20" w:type="dxa"/>
              <w:bottom w:w="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i/>
                <w:sz w:val="24"/>
                <w:szCs w:val="24"/>
              </w:rPr>
              <w:t>Myh6</w:t>
            </w:r>
            <w:r w:rsidRPr="00300E3E">
              <w:rPr>
                <w:rFonts w:ascii="Times New Roman" w:eastAsia="Times New Roman" w:hAnsi="Times New Roman" w:cs="Times New Roman"/>
                <w:sz w:val="24"/>
                <w:szCs w:val="24"/>
              </w:rPr>
              <w:t>-Cre Forward</w:t>
            </w:r>
          </w:p>
        </w:tc>
        <w:tc>
          <w:tcPr>
            <w:tcW w:w="4279" w:type="dxa"/>
            <w:tcBorders>
              <w:top w:val="single" w:sz="6" w:space="0" w:color="000000"/>
            </w:tcBorders>
            <w:tcMar>
              <w:top w:w="0" w:type="dxa"/>
              <w:left w:w="20" w:type="dxa"/>
              <w:bottom w:w="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ATGACAGACAGATCCCTCCTATCTCC</w:t>
            </w:r>
          </w:p>
        </w:tc>
        <w:tc>
          <w:tcPr>
            <w:tcW w:w="3402" w:type="dxa"/>
            <w:tcBorders>
              <w:top w:val="single" w:sz="6" w:space="0" w:color="000000"/>
            </w:tcBorders>
            <w:tcMar>
              <w:top w:w="0" w:type="dxa"/>
              <w:left w:w="20" w:type="dxa"/>
              <w:bottom w:w="0" w:type="dxa"/>
              <w:right w:w="20" w:type="dxa"/>
            </w:tcMar>
            <w:vAlign w:val="bottom"/>
          </w:tcPr>
          <w:p w:rsidR="00A56FB5" w:rsidRPr="00300E3E" w:rsidRDefault="00000000" w:rsidP="00924C62">
            <w:pPr>
              <w:spacing w:line="240" w:lineRule="auto"/>
              <w:jc w:val="right"/>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Transgene Forward</w:t>
            </w:r>
          </w:p>
        </w:tc>
      </w:tr>
      <w:tr w:rsidR="00A56FB5" w:rsidRPr="00300E3E" w:rsidTr="00924C62">
        <w:trPr>
          <w:trHeight w:val="315"/>
          <w:jc w:val="center"/>
        </w:trPr>
        <w:tc>
          <w:tcPr>
            <w:tcW w:w="2100" w:type="dxa"/>
            <w:tcBorders>
              <w:bottom w:val="single" w:sz="6" w:space="0" w:color="000000"/>
            </w:tcBorders>
            <w:tcMar>
              <w:top w:w="0" w:type="dxa"/>
              <w:left w:w="20" w:type="dxa"/>
              <w:bottom w:w="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i/>
                <w:sz w:val="24"/>
                <w:szCs w:val="24"/>
              </w:rPr>
              <w:t>Myh6</w:t>
            </w:r>
            <w:r w:rsidRPr="00300E3E">
              <w:rPr>
                <w:rFonts w:ascii="Times New Roman" w:eastAsia="Times New Roman" w:hAnsi="Times New Roman" w:cs="Times New Roman"/>
                <w:sz w:val="24"/>
                <w:szCs w:val="24"/>
              </w:rPr>
              <w:t>-Cre Reverse</w:t>
            </w:r>
          </w:p>
        </w:tc>
        <w:tc>
          <w:tcPr>
            <w:tcW w:w="4279" w:type="dxa"/>
            <w:tcBorders>
              <w:bottom w:val="single" w:sz="6" w:space="0" w:color="000000"/>
            </w:tcBorders>
            <w:tcMar>
              <w:top w:w="0" w:type="dxa"/>
              <w:left w:w="20" w:type="dxa"/>
              <w:bottom w:w="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CTCATCACTCGTTGCATCATCGAC</w:t>
            </w:r>
          </w:p>
        </w:tc>
        <w:tc>
          <w:tcPr>
            <w:tcW w:w="3402" w:type="dxa"/>
            <w:tcBorders>
              <w:bottom w:val="single" w:sz="6" w:space="0" w:color="000000"/>
            </w:tcBorders>
            <w:tcMar>
              <w:top w:w="0" w:type="dxa"/>
              <w:left w:w="20" w:type="dxa"/>
              <w:bottom w:w="0" w:type="dxa"/>
              <w:right w:w="20" w:type="dxa"/>
            </w:tcMar>
            <w:vAlign w:val="bottom"/>
          </w:tcPr>
          <w:p w:rsidR="00A56FB5" w:rsidRPr="00300E3E" w:rsidRDefault="00000000" w:rsidP="00924C62">
            <w:pPr>
              <w:spacing w:line="240" w:lineRule="auto"/>
              <w:jc w:val="right"/>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Transgene Reverse</w:t>
            </w:r>
          </w:p>
        </w:tc>
      </w:tr>
      <w:tr w:rsidR="00A56FB5" w:rsidRPr="00300E3E" w:rsidTr="00924C62">
        <w:trPr>
          <w:trHeight w:val="315"/>
          <w:jc w:val="center"/>
        </w:trPr>
        <w:tc>
          <w:tcPr>
            <w:tcW w:w="2100" w:type="dxa"/>
            <w:tcBorders>
              <w:top w:val="single" w:sz="6" w:space="0" w:color="000000"/>
            </w:tcBorders>
            <w:tcMar>
              <w:top w:w="0" w:type="dxa"/>
              <w:left w:w="20" w:type="dxa"/>
              <w:bottom w:w="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IMR8744</w:t>
            </w:r>
          </w:p>
        </w:tc>
        <w:tc>
          <w:tcPr>
            <w:tcW w:w="4279" w:type="dxa"/>
            <w:tcBorders>
              <w:top w:val="single" w:sz="6" w:space="0" w:color="000000"/>
            </w:tcBorders>
            <w:tcMar>
              <w:top w:w="0" w:type="dxa"/>
              <w:left w:w="20" w:type="dxa"/>
              <w:bottom w:w="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CAAATGTTGCTTGTCTGGTG</w:t>
            </w:r>
          </w:p>
        </w:tc>
        <w:tc>
          <w:tcPr>
            <w:tcW w:w="3402" w:type="dxa"/>
            <w:tcBorders>
              <w:top w:val="single" w:sz="6" w:space="0" w:color="000000"/>
            </w:tcBorders>
            <w:tcMar>
              <w:top w:w="0" w:type="dxa"/>
              <w:left w:w="20" w:type="dxa"/>
              <w:bottom w:w="0" w:type="dxa"/>
              <w:right w:w="20" w:type="dxa"/>
            </w:tcMar>
            <w:vAlign w:val="bottom"/>
          </w:tcPr>
          <w:p w:rsidR="00A56FB5" w:rsidRPr="00300E3E" w:rsidRDefault="00000000" w:rsidP="00924C62">
            <w:pPr>
              <w:spacing w:line="240" w:lineRule="auto"/>
              <w:jc w:val="right"/>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Internal Positive Control Forward</w:t>
            </w:r>
          </w:p>
        </w:tc>
      </w:tr>
      <w:tr w:rsidR="00A56FB5" w:rsidRPr="00300E3E" w:rsidTr="00924C62">
        <w:trPr>
          <w:trHeight w:val="315"/>
          <w:jc w:val="center"/>
        </w:trPr>
        <w:tc>
          <w:tcPr>
            <w:tcW w:w="2100" w:type="dxa"/>
            <w:tcMar>
              <w:top w:w="0" w:type="dxa"/>
              <w:left w:w="20" w:type="dxa"/>
              <w:bottom w:w="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IMR8745</w:t>
            </w:r>
          </w:p>
        </w:tc>
        <w:tc>
          <w:tcPr>
            <w:tcW w:w="4279" w:type="dxa"/>
            <w:tcMar>
              <w:top w:w="0" w:type="dxa"/>
              <w:left w:w="20" w:type="dxa"/>
              <w:bottom w:w="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GTCAGTCGAGTGCACAGTTT</w:t>
            </w:r>
          </w:p>
        </w:tc>
        <w:tc>
          <w:tcPr>
            <w:tcW w:w="3402" w:type="dxa"/>
            <w:tcMar>
              <w:top w:w="0" w:type="dxa"/>
              <w:left w:w="20" w:type="dxa"/>
              <w:bottom w:w="0" w:type="dxa"/>
              <w:right w:w="20" w:type="dxa"/>
            </w:tcMar>
            <w:vAlign w:val="bottom"/>
          </w:tcPr>
          <w:p w:rsidR="00A56FB5" w:rsidRPr="00300E3E" w:rsidRDefault="00000000" w:rsidP="00924C62">
            <w:pPr>
              <w:spacing w:line="240" w:lineRule="auto"/>
              <w:jc w:val="right"/>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Internal Positive Control Reverse</w:t>
            </w:r>
          </w:p>
        </w:tc>
      </w:tr>
    </w:tbl>
    <w:p w:rsidR="00A56FB5" w:rsidRPr="00300E3E" w:rsidRDefault="00A56FB5" w:rsidP="0008118D">
      <w:pPr>
        <w:spacing w:line="480" w:lineRule="auto"/>
        <w:rPr>
          <w:rFonts w:ascii="Times New Roman" w:eastAsia="Times New Roman" w:hAnsi="Times New Roman" w:cs="Times New Roman"/>
          <w:b/>
          <w:sz w:val="24"/>
          <w:szCs w:val="24"/>
        </w:rPr>
      </w:pPr>
    </w:p>
    <w:p w:rsidR="00A56FB5" w:rsidRPr="00300E3E" w:rsidRDefault="00000000" w:rsidP="0008118D">
      <w:pPr>
        <w:spacing w:line="480" w:lineRule="auto"/>
        <w:rPr>
          <w:rFonts w:ascii="Times New Roman" w:eastAsia="Times New Roman" w:hAnsi="Times New Roman" w:cs="Times New Roman"/>
          <w:b/>
          <w:sz w:val="24"/>
          <w:szCs w:val="24"/>
        </w:rPr>
      </w:pPr>
      <w:r w:rsidRPr="00300E3E">
        <w:rPr>
          <w:rFonts w:ascii="Times New Roman" w:eastAsia="Times New Roman" w:hAnsi="Times New Roman" w:cs="Times New Roman"/>
          <w:b/>
          <w:sz w:val="24"/>
          <w:szCs w:val="24"/>
        </w:rPr>
        <w:t>Supplementary table 2. Primers used for genotyping</w:t>
      </w:r>
      <w:r w:rsidRPr="00300E3E">
        <w:br w:type="page"/>
      </w:r>
    </w:p>
    <w:tbl>
      <w:tblPr>
        <w:tblStyle w:val="a5"/>
        <w:tblW w:w="5225" w:type="dxa"/>
        <w:jc w:val="center"/>
        <w:tblLayout w:type="fixed"/>
        <w:tblLook w:val="0400" w:firstRow="0" w:lastRow="0" w:firstColumn="0" w:lastColumn="0" w:noHBand="0" w:noVBand="1"/>
      </w:tblPr>
      <w:tblGrid>
        <w:gridCol w:w="1352"/>
        <w:gridCol w:w="3873"/>
      </w:tblGrid>
      <w:tr w:rsidR="00A56FB5" w:rsidRPr="00300E3E">
        <w:trPr>
          <w:trHeight w:val="415"/>
          <w:jc w:val="center"/>
        </w:trPr>
        <w:tc>
          <w:tcPr>
            <w:tcW w:w="1352" w:type="dxa"/>
            <w:tcBorders>
              <w:bottom w:val="single" w:sz="8" w:space="0" w:color="000000"/>
            </w:tcBorders>
            <w:tcMar>
              <w:top w:w="20" w:type="dxa"/>
              <w:left w:w="20" w:type="dxa"/>
              <w:bottom w:w="100" w:type="dxa"/>
              <w:right w:w="20" w:type="dxa"/>
            </w:tcMar>
            <w:vAlign w:val="bottom"/>
          </w:tcPr>
          <w:p w:rsidR="00A56FB5" w:rsidRPr="00300E3E" w:rsidRDefault="00000000" w:rsidP="00924C62">
            <w:pPr>
              <w:spacing w:line="240" w:lineRule="auto"/>
              <w:jc w:val="right"/>
              <w:rPr>
                <w:rFonts w:ascii="Times New Roman" w:eastAsia="Times New Roman" w:hAnsi="Times New Roman" w:cs="Times New Roman"/>
                <w:sz w:val="24"/>
                <w:szCs w:val="24"/>
              </w:rPr>
            </w:pPr>
            <w:r w:rsidRPr="00300E3E">
              <w:rPr>
                <w:b/>
                <w:sz w:val="20"/>
                <w:szCs w:val="20"/>
              </w:rPr>
              <w:lastRenderedPageBreak/>
              <w:t>Primer/ Probe</w:t>
            </w:r>
          </w:p>
        </w:tc>
        <w:tc>
          <w:tcPr>
            <w:tcW w:w="3873" w:type="dxa"/>
            <w:tcBorders>
              <w:bottom w:val="single" w:sz="8" w:space="0" w:color="000000"/>
            </w:tcBorders>
            <w:tcMar>
              <w:top w:w="20" w:type="dxa"/>
              <w:left w:w="20" w:type="dxa"/>
              <w:bottom w:w="100" w:type="dxa"/>
              <w:right w:w="20" w:type="dxa"/>
            </w:tcMar>
            <w:vAlign w:val="bottom"/>
          </w:tcPr>
          <w:p w:rsidR="00A56FB5" w:rsidRPr="00300E3E" w:rsidRDefault="00000000" w:rsidP="00924C62">
            <w:pPr>
              <w:spacing w:line="240" w:lineRule="auto"/>
              <w:jc w:val="right"/>
              <w:rPr>
                <w:rFonts w:ascii="Times New Roman" w:eastAsia="Times New Roman" w:hAnsi="Times New Roman" w:cs="Times New Roman"/>
                <w:sz w:val="24"/>
                <w:szCs w:val="24"/>
              </w:rPr>
            </w:pPr>
            <w:r w:rsidRPr="00300E3E">
              <w:rPr>
                <w:b/>
                <w:sz w:val="20"/>
                <w:szCs w:val="20"/>
              </w:rPr>
              <w:t>Sequence</w:t>
            </w:r>
          </w:p>
        </w:tc>
      </w:tr>
      <w:tr w:rsidR="00A56FB5" w:rsidRPr="00300E3E">
        <w:trPr>
          <w:trHeight w:val="230"/>
          <w:jc w:val="center"/>
        </w:trPr>
        <w:tc>
          <w:tcPr>
            <w:tcW w:w="1352" w:type="dxa"/>
            <w:tcBorders>
              <w:top w:val="single" w:sz="8" w:space="0" w:color="000000"/>
            </w:tcBorders>
            <w:tcMar>
              <w:top w:w="20" w:type="dxa"/>
              <w:left w:w="20" w:type="dxa"/>
              <w:bottom w:w="10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sz w:val="20"/>
                <w:szCs w:val="20"/>
              </w:rPr>
              <w:t>Forward</w:t>
            </w:r>
          </w:p>
        </w:tc>
        <w:tc>
          <w:tcPr>
            <w:tcW w:w="3873" w:type="dxa"/>
            <w:tcBorders>
              <w:top w:val="single" w:sz="8" w:space="0" w:color="000000"/>
            </w:tcBorders>
            <w:tcMar>
              <w:top w:w="20" w:type="dxa"/>
              <w:left w:w="20" w:type="dxa"/>
              <w:bottom w:w="100" w:type="dxa"/>
              <w:right w:w="20" w:type="dxa"/>
            </w:tcMar>
            <w:vAlign w:val="bottom"/>
          </w:tcPr>
          <w:p w:rsidR="00A56FB5" w:rsidRPr="00300E3E" w:rsidRDefault="00000000" w:rsidP="00924C62">
            <w:pPr>
              <w:spacing w:line="240" w:lineRule="auto"/>
              <w:jc w:val="right"/>
              <w:rPr>
                <w:rFonts w:ascii="Times New Roman" w:eastAsia="Times New Roman" w:hAnsi="Times New Roman" w:cs="Times New Roman"/>
                <w:sz w:val="24"/>
                <w:szCs w:val="24"/>
              </w:rPr>
            </w:pPr>
            <w:r w:rsidRPr="00300E3E">
              <w:rPr>
                <w:sz w:val="20"/>
                <w:szCs w:val="20"/>
              </w:rPr>
              <w:t>5'-ACGTCCTGAAGTCTCCTGCCA-3'</w:t>
            </w:r>
          </w:p>
        </w:tc>
      </w:tr>
      <w:tr w:rsidR="00A56FB5" w:rsidRPr="00300E3E">
        <w:trPr>
          <w:trHeight w:val="142"/>
          <w:jc w:val="center"/>
        </w:trPr>
        <w:tc>
          <w:tcPr>
            <w:tcW w:w="1352" w:type="dxa"/>
            <w:tcMar>
              <w:top w:w="20" w:type="dxa"/>
              <w:left w:w="20" w:type="dxa"/>
              <w:bottom w:w="10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sz w:val="20"/>
                <w:szCs w:val="20"/>
              </w:rPr>
              <w:t>Reverse</w:t>
            </w:r>
          </w:p>
        </w:tc>
        <w:tc>
          <w:tcPr>
            <w:tcW w:w="3873" w:type="dxa"/>
            <w:tcMar>
              <w:top w:w="20" w:type="dxa"/>
              <w:left w:w="20" w:type="dxa"/>
              <w:bottom w:w="100" w:type="dxa"/>
              <w:right w:w="20" w:type="dxa"/>
            </w:tcMar>
            <w:vAlign w:val="bottom"/>
          </w:tcPr>
          <w:p w:rsidR="00A56FB5" w:rsidRPr="00300E3E" w:rsidRDefault="00000000" w:rsidP="00924C62">
            <w:pPr>
              <w:spacing w:line="240" w:lineRule="auto"/>
              <w:jc w:val="right"/>
              <w:rPr>
                <w:rFonts w:ascii="Times New Roman" w:eastAsia="Times New Roman" w:hAnsi="Times New Roman" w:cs="Times New Roman"/>
                <w:sz w:val="24"/>
                <w:szCs w:val="24"/>
              </w:rPr>
            </w:pPr>
            <w:r w:rsidRPr="00300E3E">
              <w:rPr>
                <w:sz w:val="20"/>
                <w:szCs w:val="20"/>
              </w:rPr>
              <w:t>5'-GTAAGGTAGCGGGTGGGCAA-3'</w:t>
            </w:r>
          </w:p>
        </w:tc>
      </w:tr>
      <w:tr w:rsidR="00A56FB5" w:rsidRPr="00300E3E">
        <w:trPr>
          <w:trHeight w:val="61"/>
          <w:jc w:val="center"/>
        </w:trPr>
        <w:tc>
          <w:tcPr>
            <w:tcW w:w="1352" w:type="dxa"/>
            <w:tcMar>
              <w:top w:w="20" w:type="dxa"/>
              <w:left w:w="20" w:type="dxa"/>
              <w:bottom w:w="100" w:type="dxa"/>
              <w:right w:w="20" w:type="dxa"/>
            </w:tcMar>
            <w:vAlign w:val="bottom"/>
          </w:tcPr>
          <w:p w:rsidR="00A56FB5" w:rsidRPr="00300E3E" w:rsidRDefault="00000000" w:rsidP="00924C62">
            <w:pPr>
              <w:spacing w:line="240" w:lineRule="auto"/>
              <w:jc w:val="both"/>
              <w:rPr>
                <w:rFonts w:ascii="Times New Roman" w:eastAsia="Times New Roman" w:hAnsi="Times New Roman" w:cs="Times New Roman"/>
                <w:sz w:val="24"/>
                <w:szCs w:val="24"/>
              </w:rPr>
            </w:pPr>
            <w:r w:rsidRPr="00300E3E">
              <w:rPr>
                <w:sz w:val="20"/>
                <w:szCs w:val="20"/>
              </w:rPr>
              <w:t>Probe</w:t>
            </w:r>
          </w:p>
        </w:tc>
        <w:tc>
          <w:tcPr>
            <w:tcW w:w="3873" w:type="dxa"/>
            <w:tcMar>
              <w:top w:w="20" w:type="dxa"/>
              <w:left w:w="20" w:type="dxa"/>
              <w:bottom w:w="100" w:type="dxa"/>
              <w:right w:w="20" w:type="dxa"/>
            </w:tcMar>
            <w:vAlign w:val="bottom"/>
          </w:tcPr>
          <w:p w:rsidR="00A56FB5" w:rsidRPr="00300E3E" w:rsidRDefault="00000000" w:rsidP="00924C62">
            <w:pPr>
              <w:spacing w:line="240" w:lineRule="auto"/>
              <w:jc w:val="right"/>
              <w:rPr>
                <w:rFonts w:ascii="Times New Roman" w:eastAsia="Times New Roman" w:hAnsi="Times New Roman" w:cs="Times New Roman"/>
                <w:sz w:val="24"/>
                <w:szCs w:val="24"/>
              </w:rPr>
            </w:pPr>
            <w:r w:rsidRPr="00300E3E">
              <w:rPr>
                <w:sz w:val="20"/>
                <w:szCs w:val="20"/>
              </w:rPr>
              <w:t>5'-ACCGCTGACCTGGCCTGGACTCCA-3'</w:t>
            </w:r>
          </w:p>
        </w:tc>
      </w:tr>
    </w:tbl>
    <w:p w:rsidR="00A56FB5" w:rsidRPr="00300E3E" w:rsidRDefault="00000000" w:rsidP="0008118D">
      <w:pPr>
        <w:spacing w:line="480" w:lineRule="auto"/>
        <w:jc w:val="both"/>
        <w:rPr>
          <w:rFonts w:ascii="Times New Roman" w:eastAsia="Times New Roman" w:hAnsi="Times New Roman" w:cs="Times New Roman"/>
          <w:b/>
          <w:sz w:val="24"/>
          <w:szCs w:val="24"/>
        </w:rPr>
      </w:pPr>
      <w:r w:rsidRPr="00300E3E">
        <w:rPr>
          <w:rFonts w:ascii="Times New Roman" w:eastAsia="Times New Roman" w:hAnsi="Times New Roman" w:cs="Times New Roman"/>
          <w:b/>
          <w:sz w:val="24"/>
          <w:szCs w:val="24"/>
        </w:rPr>
        <w:t xml:space="preserve">Supplementary table 3. Custom </w:t>
      </w:r>
      <w:proofErr w:type="spellStart"/>
      <w:r w:rsidRPr="00300E3E">
        <w:rPr>
          <w:rFonts w:ascii="Times New Roman" w:eastAsia="Times New Roman" w:hAnsi="Times New Roman" w:cs="Times New Roman"/>
          <w:b/>
          <w:sz w:val="24"/>
          <w:szCs w:val="24"/>
        </w:rPr>
        <w:t>taqman</w:t>
      </w:r>
      <w:proofErr w:type="spellEnd"/>
      <w:r w:rsidRPr="00300E3E">
        <w:rPr>
          <w:rFonts w:ascii="Times New Roman" w:eastAsia="Times New Roman" w:hAnsi="Times New Roman" w:cs="Times New Roman"/>
          <w:b/>
          <w:sz w:val="24"/>
          <w:szCs w:val="24"/>
        </w:rPr>
        <w:t xml:space="preserve"> assay for </w:t>
      </w:r>
      <w:r w:rsidRPr="00300E3E">
        <w:rPr>
          <w:rFonts w:ascii="Times New Roman" w:eastAsia="Times New Roman" w:hAnsi="Times New Roman" w:cs="Times New Roman"/>
          <w:b/>
          <w:i/>
          <w:sz w:val="24"/>
          <w:szCs w:val="24"/>
        </w:rPr>
        <w:t xml:space="preserve">Il11ra1 </w:t>
      </w:r>
      <w:r w:rsidRPr="00300E3E">
        <w:rPr>
          <w:rFonts w:ascii="Times New Roman" w:eastAsia="Times New Roman" w:hAnsi="Times New Roman" w:cs="Times New Roman"/>
          <w:b/>
          <w:sz w:val="24"/>
          <w:szCs w:val="24"/>
        </w:rPr>
        <w:t>exon 4</w:t>
      </w:r>
    </w:p>
    <w:p w:rsidR="00A56FB5" w:rsidRPr="00300E3E" w:rsidRDefault="00000000" w:rsidP="0008118D">
      <w:pPr>
        <w:spacing w:line="480" w:lineRule="auto"/>
        <w:rPr>
          <w:rFonts w:ascii="Times New Roman" w:eastAsia="Times New Roman" w:hAnsi="Times New Roman" w:cs="Times New Roman"/>
          <w:b/>
          <w:sz w:val="24"/>
          <w:szCs w:val="24"/>
        </w:rPr>
      </w:pPr>
      <w:r w:rsidRPr="00300E3E">
        <w:br w:type="page"/>
      </w:r>
      <w:r w:rsidRPr="00300E3E">
        <w:rPr>
          <w:rFonts w:ascii="Times New Roman" w:eastAsia="Times New Roman" w:hAnsi="Times New Roman" w:cs="Times New Roman"/>
          <w:b/>
          <w:sz w:val="24"/>
          <w:szCs w:val="24"/>
        </w:rPr>
        <w:lastRenderedPageBreak/>
        <w:t>Supplementary table 4</w:t>
      </w:r>
      <w:r w:rsidR="001B18A5">
        <w:rPr>
          <w:rFonts w:ascii="Times New Roman" w:eastAsia="Times New Roman" w:hAnsi="Times New Roman" w:cs="Times New Roman"/>
          <w:b/>
          <w:sz w:val="24"/>
          <w:szCs w:val="24"/>
        </w:rPr>
        <w:t>.</w:t>
      </w:r>
      <w:r w:rsidRPr="00300E3E">
        <w:rPr>
          <w:rFonts w:ascii="Times New Roman" w:eastAsia="Times New Roman" w:hAnsi="Times New Roman" w:cs="Times New Roman"/>
          <w:b/>
          <w:sz w:val="24"/>
          <w:szCs w:val="24"/>
        </w:rPr>
        <w:t xml:space="preserve"> List of differentially expressed cardiomyocyte genes 3 hours after injection of rmIL11. </w:t>
      </w:r>
      <w:r w:rsidRPr="00300E3E">
        <w:br w:type="page"/>
      </w:r>
      <w:r w:rsidRPr="00300E3E">
        <w:rPr>
          <w:rFonts w:ascii="Times New Roman" w:eastAsia="Times New Roman" w:hAnsi="Times New Roman" w:cs="Times New Roman"/>
          <w:b/>
          <w:sz w:val="24"/>
          <w:szCs w:val="24"/>
        </w:rPr>
        <w:lastRenderedPageBreak/>
        <w:t>Supplementary table 5. List of significantly differentially regulated regions in mouse myocardial DNA 3 hours after injection of rmIL11</w:t>
      </w:r>
      <w:r w:rsidRPr="00300E3E">
        <w:br w:type="page"/>
      </w:r>
    </w:p>
    <w:tbl>
      <w:tblPr>
        <w:tblStyle w:val="a6"/>
        <w:tblW w:w="9900" w:type="dxa"/>
        <w:tblInd w:w="-278"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754"/>
        <w:gridCol w:w="2576"/>
        <w:gridCol w:w="900"/>
        <w:gridCol w:w="1080"/>
        <w:gridCol w:w="810"/>
        <w:gridCol w:w="1238"/>
        <w:gridCol w:w="992"/>
        <w:gridCol w:w="1550"/>
      </w:tblGrid>
      <w:tr w:rsidR="00A56FB5" w:rsidRPr="00300E3E" w:rsidTr="00924C62">
        <w:tc>
          <w:tcPr>
            <w:tcW w:w="754"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rPr>
                <w:rFonts w:ascii="Times" w:eastAsia="Times" w:hAnsi="Times" w:cs="Times"/>
                <w:b/>
              </w:rPr>
            </w:pPr>
            <w:r w:rsidRPr="00300E3E">
              <w:rPr>
                <w:rFonts w:ascii="Times" w:eastAsia="Times" w:hAnsi="Times" w:cs="Times"/>
                <w:b/>
              </w:rPr>
              <w:lastRenderedPageBreak/>
              <w:t>Rank</w:t>
            </w:r>
          </w:p>
        </w:tc>
        <w:tc>
          <w:tcPr>
            <w:tcW w:w="2576"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center"/>
              <w:rPr>
                <w:rFonts w:ascii="Times" w:eastAsia="Times" w:hAnsi="Times" w:cs="Times"/>
                <w:b/>
              </w:rPr>
            </w:pPr>
            <w:r w:rsidRPr="00300E3E">
              <w:rPr>
                <w:rFonts w:ascii="Times" w:eastAsia="Times" w:hAnsi="Times" w:cs="Times"/>
                <w:b/>
              </w:rPr>
              <w:t>Motif</w:t>
            </w:r>
          </w:p>
        </w:tc>
        <w:tc>
          <w:tcPr>
            <w:tcW w:w="90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right"/>
              <w:rPr>
                <w:rFonts w:ascii="Times" w:eastAsia="Times" w:hAnsi="Times" w:cs="Times"/>
                <w:b/>
              </w:rPr>
            </w:pPr>
            <w:r w:rsidRPr="00300E3E">
              <w:rPr>
                <w:rFonts w:ascii="Times" w:eastAsia="Times" w:hAnsi="Times" w:cs="Times"/>
                <w:b/>
              </w:rPr>
              <w:t>P-value</w:t>
            </w:r>
          </w:p>
        </w:tc>
        <w:tc>
          <w:tcPr>
            <w:tcW w:w="108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right"/>
              <w:rPr>
                <w:rFonts w:ascii="Times" w:eastAsia="Times" w:hAnsi="Times" w:cs="Times"/>
                <w:b/>
              </w:rPr>
            </w:pPr>
            <w:r w:rsidRPr="00300E3E">
              <w:rPr>
                <w:rFonts w:ascii="Times" w:eastAsia="Times" w:hAnsi="Times" w:cs="Times"/>
                <w:b/>
              </w:rPr>
              <w:t>log P-</w:t>
            </w:r>
            <w:proofErr w:type="spellStart"/>
            <w:r w:rsidRPr="00300E3E">
              <w:rPr>
                <w:rFonts w:ascii="Times" w:eastAsia="Times" w:hAnsi="Times" w:cs="Times"/>
                <w:b/>
              </w:rPr>
              <w:t>pvalue</w:t>
            </w:r>
            <w:proofErr w:type="spellEnd"/>
          </w:p>
        </w:tc>
        <w:tc>
          <w:tcPr>
            <w:tcW w:w="81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right"/>
              <w:rPr>
                <w:rFonts w:ascii="Times" w:eastAsia="Times" w:hAnsi="Times" w:cs="Times"/>
                <w:b/>
              </w:rPr>
            </w:pPr>
            <w:r w:rsidRPr="00300E3E">
              <w:rPr>
                <w:rFonts w:ascii="Times" w:eastAsia="Times" w:hAnsi="Times" w:cs="Times"/>
                <w:b/>
              </w:rPr>
              <w:t>% of Targets</w:t>
            </w:r>
          </w:p>
        </w:tc>
        <w:tc>
          <w:tcPr>
            <w:tcW w:w="1238"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right"/>
              <w:rPr>
                <w:rFonts w:ascii="Times" w:eastAsia="Times" w:hAnsi="Times" w:cs="Times"/>
                <w:b/>
              </w:rPr>
            </w:pPr>
            <w:r w:rsidRPr="00300E3E">
              <w:rPr>
                <w:rFonts w:ascii="Times" w:eastAsia="Times" w:hAnsi="Times" w:cs="Times"/>
                <w:b/>
              </w:rPr>
              <w:t>% of Background</w:t>
            </w:r>
          </w:p>
        </w:tc>
        <w:tc>
          <w:tcPr>
            <w:tcW w:w="992"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right"/>
              <w:rPr>
                <w:rFonts w:ascii="Times" w:eastAsia="Times" w:hAnsi="Times" w:cs="Times"/>
                <w:b/>
              </w:rPr>
            </w:pPr>
            <w:proofErr w:type="gramStart"/>
            <w:r w:rsidRPr="00300E3E">
              <w:rPr>
                <w:rFonts w:ascii="Times" w:eastAsia="Times" w:hAnsi="Times" w:cs="Times"/>
                <w:b/>
              </w:rPr>
              <w:t>STD(</w:t>
            </w:r>
            <w:proofErr w:type="spellStart"/>
            <w:proofErr w:type="gramEnd"/>
            <w:r w:rsidRPr="00300E3E">
              <w:rPr>
                <w:rFonts w:ascii="Times" w:eastAsia="Times" w:hAnsi="Times" w:cs="Times"/>
                <w:b/>
              </w:rPr>
              <w:t>Bg</w:t>
            </w:r>
            <w:proofErr w:type="spellEnd"/>
            <w:r w:rsidRPr="00300E3E">
              <w:rPr>
                <w:rFonts w:ascii="Times" w:eastAsia="Times" w:hAnsi="Times" w:cs="Times"/>
                <w:b/>
              </w:rPr>
              <w:t xml:space="preserve"> STD)</w:t>
            </w:r>
          </w:p>
        </w:tc>
        <w:tc>
          <w:tcPr>
            <w:tcW w:w="155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right"/>
              <w:rPr>
                <w:rFonts w:ascii="Times" w:eastAsia="Times" w:hAnsi="Times" w:cs="Times"/>
                <w:b/>
              </w:rPr>
            </w:pPr>
            <w:r w:rsidRPr="00300E3E">
              <w:rPr>
                <w:rFonts w:ascii="Times" w:eastAsia="Times" w:hAnsi="Times" w:cs="Times"/>
                <w:b/>
              </w:rPr>
              <w:t>Best Match/Details</w:t>
            </w:r>
          </w:p>
        </w:tc>
      </w:tr>
      <w:tr w:rsidR="00A56FB5" w:rsidRPr="00300E3E" w:rsidTr="00924C62">
        <w:tc>
          <w:tcPr>
            <w:tcW w:w="754"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w:t>
            </w:r>
          </w:p>
        </w:tc>
        <w:tc>
          <w:tcPr>
            <w:tcW w:w="2576"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New Roman" w:eastAsia="Times New Roman" w:hAnsi="Times New Roman" w:cs="Times New Roman"/>
                <w:noProof/>
              </w:rPr>
              <w:drawing>
                <wp:inline distT="0" distB="0" distL="0" distR="0">
                  <wp:extent cx="1574929" cy="365760"/>
                  <wp:effectExtent l="0" t="0" r="0" b="0"/>
                  <wp:docPr id="27" name="image25.png" descr="A close-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5.png" descr="A close-up of a logo&#10;&#10;Description automatically generated"/>
                          <pic:cNvPicPr preferRelativeResize="0"/>
                        </pic:nvPicPr>
                        <pic:blipFill>
                          <a:blip r:embed="rId11"/>
                          <a:srcRect l="12675"/>
                          <a:stretch>
                            <a:fillRect/>
                          </a:stretch>
                        </pic:blipFill>
                        <pic:spPr>
                          <a:xfrm>
                            <a:off x="0" y="0"/>
                            <a:ext cx="1574929" cy="365760"/>
                          </a:xfrm>
                          <a:prstGeom prst="rect">
                            <a:avLst/>
                          </a:prstGeom>
                          <a:ln/>
                        </pic:spPr>
                      </pic:pic>
                    </a:graphicData>
                  </a:graphic>
                </wp:inline>
              </w:drawing>
            </w:r>
          </w:p>
        </w:tc>
        <w:tc>
          <w:tcPr>
            <w:tcW w:w="90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1e-447</w:t>
            </w:r>
          </w:p>
        </w:tc>
        <w:tc>
          <w:tcPr>
            <w:tcW w:w="108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-1.031e+03</w:t>
            </w:r>
          </w:p>
        </w:tc>
        <w:tc>
          <w:tcPr>
            <w:tcW w:w="81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69.17%</w:t>
            </w:r>
          </w:p>
        </w:tc>
        <w:tc>
          <w:tcPr>
            <w:tcW w:w="1238"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7.01%</w:t>
            </w:r>
          </w:p>
        </w:tc>
        <w:tc>
          <w:tcPr>
            <w:tcW w:w="992"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45.5bp (71.8bp)</w:t>
            </w:r>
          </w:p>
        </w:tc>
        <w:tc>
          <w:tcPr>
            <w:tcW w:w="155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FOSL2/MA0478.1/</w:t>
            </w:r>
            <w:proofErr w:type="gramStart"/>
            <w:r w:rsidRPr="00300E3E">
              <w:rPr>
                <w:rFonts w:ascii="Times" w:eastAsia="Times" w:hAnsi="Times" w:cs="Times"/>
              </w:rPr>
              <w:t>Jaspar(</w:t>
            </w:r>
            <w:proofErr w:type="gramEnd"/>
            <w:r w:rsidRPr="00300E3E">
              <w:rPr>
                <w:rFonts w:ascii="Times" w:eastAsia="Times" w:hAnsi="Times" w:cs="Times"/>
              </w:rPr>
              <w:t>0.971)</w:t>
            </w:r>
            <w:r w:rsidRPr="00300E3E">
              <w:rPr>
                <w:rFonts w:ascii="Times" w:eastAsia="Times" w:hAnsi="Times" w:cs="Times"/>
              </w:rPr>
              <w:br/>
            </w:r>
          </w:p>
        </w:tc>
      </w:tr>
      <w:tr w:rsidR="00A56FB5" w:rsidRPr="00300E3E" w:rsidTr="00924C62">
        <w:tc>
          <w:tcPr>
            <w:tcW w:w="754"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2</w:t>
            </w:r>
          </w:p>
        </w:tc>
        <w:tc>
          <w:tcPr>
            <w:tcW w:w="2576"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New Roman" w:eastAsia="Times New Roman" w:hAnsi="Times New Roman" w:cs="Times New Roman"/>
                <w:noProof/>
              </w:rPr>
              <w:drawing>
                <wp:inline distT="0" distB="0" distL="0" distR="0">
                  <wp:extent cx="1583096" cy="365760"/>
                  <wp:effectExtent l="0" t="0" r="0" b="0"/>
                  <wp:docPr id="22" name="image18.png" descr="A close-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8.png" descr="A close-up of a logo&#10;&#10;Description automatically generated"/>
                          <pic:cNvPicPr preferRelativeResize="0"/>
                        </pic:nvPicPr>
                        <pic:blipFill>
                          <a:blip r:embed="rId12"/>
                          <a:srcRect l="12224"/>
                          <a:stretch>
                            <a:fillRect/>
                          </a:stretch>
                        </pic:blipFill>
                        <pic:spPr>
                          <a:xfrm>
                            <a:off x="0" y="0"/>
                            <a:ext cx="1583096" cy="365760"/>
                          </a:xfrm>
                          <a:prstGeom prst="rect">
                            <a:avLst/>
                          </a:prstGeom>
                          <a:ln/>
                        </pic:spPr>
                      </pic:pic>
                    </a:graphicData>
                  </a:graphic>
                </wp:inline>
              </w:drawing>
            </w:r>
          </w:p>
        </w:tc>
        <w:tc>
          <w:tcPr>
            <w:tcW w:w="90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1e-44</w:t>
            </w:r>
          </w:p>
        </w:tc>
        <w:tc>
          <w:tcPr>
            <w:tcW w:w="108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-1.035e+02</w:t>
            </w:r>
          </w:p>
        </w:tc>
        <w:tc>
          <w:tcPr>
            <w:tcW w:w="81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21.28%</w:t>
            </w:r>
          </w:p>
        </w:tc>
        <w:tc>
          <w:tcPr>
            <w:tcW w:w="1238"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6.32%</w:t>
            </w:r>
          </w:p>
        </w:tc>
        <w:tc>
          <w:tcPr>
            <w:tcW w:w="992"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49.0bp (64.0bp)</w:t>
            </w:r>
          </w:p>
        </w:tc>
        <w:tc>
          <w:tcPr>
            <w:tcW w:w="155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Mef2d(MADS)/Retina-Mef2d-ChIP-</w:t>
            </w:r>
            <w:proofErr w:type="gramStart"/>
            <w:r w:rsidRPr="00300E3E">
              <w:rPr>
                <w:rFonts w:ascii="Times" w:eastAsia="Times" w:hAnsi="Times" w:cs="Times"/>
              </w:rPr>
              <w:t>Seq(</w:t>
            </w:r>
            <w:proofErr w:type="gramEnd"/>
            <w:r w:rsidRPr="00300E3E">
              <w:rPr>
                <w:rFonts w:ascii="Times" w:eastAsia="Times" w:hAnsi="Times" w:cs="Times"/>
              </w:rPr>
              <w:t>GSE61391)/Homer(0.870)</w:t>
            </w:r>
            <w:r w:rsidRPr="00300E3E">
              <w:rPr>
                <w:rFonts w:ascii="Times" w:eastAsia="Times" w:hAnsi="Times" w:cs="Times"/>
              </w:rPr>
              <w:br/>
            </w:r>
          </w:p>
        </w:tc>
      </w:tr>
      <w:tr w:rsidR="00A56FB5" w:rsidRPr="00300E3E" w:rsidTr="00924C62">
        <w:tc>
          <w:tcPr>
            <w:tcW w:w="754"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3</w:t>
            </w:r>
          </w:p>
        </w:tc>
        <w:tc>
          <w:tcPr>
            <w:tcW w:w="2576"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New Roman" w:eastAsia="Times New Roman" w:hAnsi="Times New Roman" w:cs="Times New Roman"/>
                <w:noProof/>
              </w:rPr>
              <w:drawing>
                <wp:inline distT="0" distB="0" distL="0" distR="0">
                  <wp:extent cx="1599056" cy="457200"/>
                  <wp:effectExtent l="0" t="0" r="0" b="0"/>
                  <wp:docPr id="18" name="image12.png" descr="A red and green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png" descr="A red and green text&#10;&#10;Description automatically generated"/>
                          <pic:cNvPicPr preferRelativeResize="0"/>
                        </pic:nvPicPr>
                        <pic:blipFill>
                          <a:blip r:embed="rId13"/>
                          <a:srcRect l="16254"/>
                          <a:stretch>
                            <a:fillRect/>
                          </a:stretch>
                        </pic:blipFill>
                        <pic:spPr>
                          <a:xfrm>
                            <a:off x="0" y="0"/>
                            <a:ext cx="1599056" cy="457200"/>
                          </a:xfrm>
                          <a:prstGeom prst="rect">
                            <a:avLst/>
                          </a:prstGeom>
                          <a:ln/>
                        </pic:spPr>
                      </pic:pic>
                    </a:graphicData>
                  </a:graphic>
                </wp:inline>
              </w:drawing>
            </w:r>
          </w:p>
        </w:tc>
        <w:tc>
          <w:tcPr>
            <w:tcW w:w="90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1e-22</w:t>
            </w:r>
          </w:p>
        </w:tc>
        <w:tc>
          <w:tcPr>
            <w:tcW w:w="108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-5.112e+01</w:t>
            </w:r>
          </w:p>
        </w:tc>
        <w:tc>
          <w:tcPr>
            <w:tcW w:w="81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11.25%</w:t>
            </w:r>
          </w:p>
        </w:tc>
        <w:tc>
          <w:tcPr>
            <w:tcW w:w="1238"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3.44%</w:t>
            </w:r>
          </w:p>
        </w:tc>
        <w:tc>
          <w:tcPr>
            <w:tcW w:w="992"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51.7bp (62.2bp)</w:t>
            </w:r>
          </w:p>
        </w:tc>
        <w:tc>
          <w:tcPr>
            <w:tcW w:w="155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TEAD1(TEAD)/HepG2-TEAD1-ChIP-</w:t>
            </w:r>
            <w:proofErr w:type="gramStart"/>
            <w:r w:rsidRPr="00300E3E">
              <w:rPr>
                <w:rFonts w:ascii="Times" w:eastAsia="Times" w:hAnsi="Times" w:cs="Times"/>
              </w:rPr>
              <w:t>Seq(</w:t>
            </w:r>
            <w:proofErr w:type="gramEnd"/>
            <w:r w:rsidRPr="00300E3E">
              <w:rPr>
                <w:rFonts w:ascii="Times" w:eastAsia="Times" w:hAnsi="Times" w:cs="Times"/>
              </w:rPr>
              <w:t>Encode)/Homer(0.957)</w:t>
            </w:r>
            <w:r w:rsidRPr="00300E3E">
              <w:rPr>
                <w:rFonts w:ascii="Times" w:eastAsia="Times" w:hAnsi="Times" w:cs="Times"/>
              </w:rPr>
              <w:br/>
            </w:r>
          </w:p>
        </w:tc>
      </w:tr>
      <w:tr w:rsidR="00A56FB5" w:rsidRPr="00300E3E" w:rsidTr="00924C62">
        <w:tc>
          <w:tcPr>
            <w:tcW w:w="754"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4</w:t>
            </w:r>
          </w:p>
        </w:tc>
        <w:tc>
          <w:tcPr>
            <w:tcW w:w="2576"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New Roman" w:eastAsia="Times New Roman" w:hAnsi="Times New Roman" w:cs="Times New Roman"/>
                <w:noProof/>
              </w:rPr>
              <w:drawing>
                <wp:inline distT="0" distB="0" distL="0" distR="0">
                  <wp:extent cx="1574931" cy="406585"/>
                  <wp:effectExtent l="0" t="0" r="0" b="0"/>
                  <wp:docPr id="16" name="image4.png" descr="A colorful letters on a white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colorful letters on a white background&#10;&#10;Description automatically generated"/>
                          <pic:cNvPicPr preferRelativeResize="0"/>
                        </pic:nvPicPr>
                        <pic:blipFill>
                          <a:blip r:embed="rId14"/>
                          <a:srcRect l="12675" t="-11161"/>
                          <a:stretch>
                            <a:fillRect/>
                          </a:stretch>
                        </pic:blipFill>
                        <pic:spPr>
                          <a:xfrm>
                            <a:off x="0" y="0"/>
                            <a:ext cx="1574931" cy="406585"/>
                          </a:xfrm>
                          <a:prstGeom prst="rect">
                            <a:avLst/>
                          </a:prstGeom>
                          <a:ln/>
                        </pic:spPr>
                      </pic:pic>
                    </a:graphicData>
                  </a:graphic>
                </wp:inline>
              </w:drawing>
            </w:r>
          </w:p>
        </w:tc>
        <w:tc>
          <w:tcPr>
            <w:tcW w:w="90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1e-20</w:t>
            </w:r>
          </w:p>
        </w:tc>
        <w:tc>
          <w:tcPr>
            <w:tcW w:w="108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-4.703e+01</w:t>
            </w:r>
          </w:p>
        </w:tc>
        <w:tc>
          <w:tcPr>
            <w:tcW w:w="81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6.41%</w:t>
            </w:r>
          </w:p>
        </w:tc>
        <w:tc>
          <w:tcPr>
            <w:tcW w:w="1238"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1.27%</w:t>
            </w:r>
          </w:p>
        </w:tc>
        <w:tc>
          <w:tcPr>
            <w:tcW w:w="992"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44.7bp (59.4bp)</w:t>
            </w:r>
          </w:p>
        </w:tc>
        <w:tc>
          <w:tcPr>
            <w:tcW w:w="155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Stat3(Stat)/mES-Stat3-ChIP-</w:t>
            </w:r>
            <w:proofErr w:type="gramStart"/>
            <w:r w:rsidRPr="00300E3E">
              <w:rPr>
                <w:rFonts w:ascii="Times" w:eastAsia="Times" w:hAnsi="Times" w:cs="Times"/>
              </w:rPr>
              <w:t>Seq(</w:t>
            </w:r>
            <w:proofErr w:type="gramEnd"/>
            <w:r w:rsidRPr="00300E3E">
              <w:rPr>
                <w:rFonts w:ascii="Times" w:eastAsia="Times" w:hAnsi="Times" w:cs="Times"/>
              </w:rPr>
              <w:t>GSE11431)/Homer(0.950)</w:t>
            </w:r>
            <w:r w:rsidRPr="00300E3E">
              <w:rPr>
                <w:rFonts w:ascii="Times" w:eastAsia="Times" w:hAnsi="Times" w:cs="Times"/>
              </w:rPr>
              <w:br/>
            </w:r>
          </w:p>
        </w:tc>
      </w:tr>
      <w:tr w:rsidR="00A56FB5" w:rsidRPr="00300E3E" w:rsidTr="00924C62">
        <w:tc>
          <w:tcPr>
            <w:tcW w:w="754"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5</w:t>
            </w:r>
          </w:p>
        </w:tc>
        <w:tc>
          <w:tcPr>
            <w:tcW w:w="2576"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New Roman" w:eastAsia="Times New Roman" w:hAnsi="Times New Roman" w:cs="Times New Roman"/>
                <w:noProof/>
              </w:rPr>
              <w:drawing>
                <wp:inline distT="0" distB="0" distL="0" distR="0">
                  <wp:extent cx="1842754" cy="365760"/>
                  <wp:effectExtent l="0" t="0" r="0" b="0"/>
                  <wp:docPr id="1" name="image1.png" descr="A close-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close-up of a logo&#10;&#10;Description automatically generated"/>
                          <pic:cNvPicPr preferRelativeResize="0"/>
                        </pic:nvPicPr>
                        <pic:blipFill>
                          <a:blip r:embed="rId15"/>
                          <a:srcRect l="11388"/>
                          <a:stretch>
                            <a:fillRect/>
                          </a:stretch>
                        </pic:blipFill>
                        <pic:spPr>
                          <a:xfrm>
                            <a:off x="0" y="0"/>
                            <a:ext cx="1842754" cy="365760"/>
                          </a:xfrm>
                          <a:prstGeom prst="rect">
                            <a:avLst/>
                          </a:prstGeom>
                          <a:ln/>
                        </pic:spPr>
                      </pic:pic>
                    </a:graphicData>
                  </a:graphic>
                </wp:inline>
              </w:drawing>
            </w:r>
          </w:p>
        </w:tc>
        <w:tc>
          <w:tcPr>
            <w:tcW w:w="90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1e-15</w:t>
            </w:r>
          </w:p>
        </w:tc>
        <w:tc>
          <w:tcPr>
            <w:tcW w:w="108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-3.531e+01</w:t>
            </w:r>
          </w:p>
        </w:tc>
        <w:tc>
          <w:tcPr>
            <w:tcW w:w="81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4.96%</w:t>
            </w:r>
          </w:p>
        </w:tc>
        <w:tc>
          <w:tcPr>
            <w:tcW w:w="1238"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1.03%</w:t>
            </w:r>
          </w:p>
        </w:tc>
        <w:tc>
          <w:tcPr>
            <w:tcW w:w="992"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53.4bp (65.3bp)</w:t>
            </w:r>
          </w:p>
        </w:tc>
        <w:tc>
          <w:tcPr>
            <w:tcW w:w="155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ERE(NR</w:t>
            </w:r>
            <w:proofErr w:type="gramStart"/>
            <w:r w:rsidRPr="00300E3E">
              <w:rPr>
                <w:rFonts w:ascii="Times" w:eastAsia="Times" w:hAnsi="Times" w:cs="Times"/>
              </w:rPr>
              <w:t>),IR</w:t>
            </w:r>
            <w:proofErr w:type="gramEnd"/>
            <w:r w:rsidRPr="00300E3E">
              <w:rPr>
                <w:rFonts w:ascii="Times" w:eastAsia="Times" w:hAnsi="Times" w:cs="Times"/>
              </w:rPr>
              <w:t>3/MCF7-ERa-ChIP-Seq(Unpublished)/Homer(0.685)</w:t>
            </w:r>
            <w:r w:rsidRPr="00300E3E">
              <w:rPr>
                <w:rFonts w:ascii="Times" w:eastAsia="Times" w:hAnsi="Times" w:cs="Times"/>
              </w:rPr>
              <w:br/>
            </w:r>
          </w:p>
        </w:tc>
      </w:tr>
      <w:tr w:rsidR="00A56FB5" w:rsidRPr="00300E3E" w:rsidTr="00924C62">
        <w:tc>
          <w:tcPr>
            <w:tcW w:w="754"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6</w:t>
            </w:r>
          </w:p>
        </w:tc>
        <w:tc>
          <w:tcPr>
            <w:tcW w:w="2576"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New Roman" w:eastAsia="Times New Roman" w:hAnsi="Times New Roman" w:cs="Times New Roman"/>
                <w:noProof/>
              </w:rPr>
              <w:drawing>
                <wp:inline distT="0" distB="0" distL="0" distR="0">
                  <wp:extent cx="1558601" cy="365760"/>
                  <wp:effectExtent l="0" t="0" r="0" b="0"/>
                  <wp:docPr id="24" name="image21.png" descr="A close-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1.png" descr="A close-up of a logo&#10;&#10;Description automatically generated"/>
                          <pic:cNvPicPr preferRelativeResize="0"/>
                        </pic:nvPicPr>
                        <pic:blipFill>
                          <a:blip r:embed="rId16"/>
                          <a:srcRect l="13582"/>
                          <a:stretch>
                            <a:fillRect/>
                          </a:stretch>
                        </pic:blipFill>
                        <pic:spPr>
                          <a:xfrm>
                            <a:off x="0" y="0"/>
                            <a:ext cx="1558601" cy="365760"/>
                          </a:xfrm>
                          <a:prstGeom prst="rect">
                            <a:avLst/>
                          </a:prstGeom>
                          <a:ln/>
                        </pic:spPr>
                      </pic:pic>
                    </a:graphicData>
                  </a:graphic>
                </wp:inline>
              </w:drawing>
            </w:r>
          </w:p>
        </w:tc>
        <w:tc>
          <w:tcPr>
            <w:tcW w:w="90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1e-14</w:t>
            </w:r>
          </w:p>
        </w:tc>
        <w:tc>
          <w:tcPr>
            <w:tcW w:w="108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-3.446e+01</w:t>
            </w:r>
          </w:p>
        </w:tc>
        <w:tc>
          <w:tcPr>
            <w:tcW w:w="81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4.23%</w:t>
            </w:r>
          </w:p>
        </w:tc>
        <w:tc>
          <w:tcPr>
            <w:tcW w:w="1238"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0.76%</w:t>
            </w:r>
          </w:p>
        </w:tc>
        <w:tc>
          <w:tcPr>
            <w:tcW w:w="992"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59.5bp (58.0bp)</w:t>
            </w:r>
          </w:p>
        </w:tc>
        <w:tc>
          <w:tcPr>
            <w:tcW w:w="155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Mef2b(MADS)/HEK293-Mef2b.V5-ChIP-</w:t>
            </w:r>
            <w:proofErr w:type="gramStart"/>
            <w:r w:rsidRPr="00300E3E">
              <w:rPr>
                <w:rFonts w:ascii="Times" w:eastAsia="Times" w:hAnsi="Times" w:cs="Times"/>
              </w:rPr>
              <w:t>Seq(</w:t>
            </w:r>
            <w:proofErr w:type="gramEnd"/>
            <w:r w:rsidRPr="00300E3E">
              <w:rPr>
                <w:rFonts w:ascii="Times" w:eastAsia="Times" w:hAnsi="Times" w:cs="Times"/>
              </w:rPr>
              <w:t>GSE67450)/Homer(0.693)</w:t>
            </w:r>
            <w:r w:rsidRPr="00300E3E">
              <w:rPr>
                <w:rFonts w:ascii="Times" w:eastAsia="Times" w:hAnsi="Times" w:cs="Times"/>
              </w:rPr>
              <w:br/>
            </w:r>
          </w:p>
        </w:tc>
      </w:tr>
      <w:tr w:rsidR="00A56FB5" w:rsidRPr="00300E3E" w:rsidTr="00924C62">
        <w:tc>
          <w:tcPr>
            <w:tcW w:w="754"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7</w:t>
            </w:r>
          </w:p>
        </w:tc>
        <w:tc>
          <w:tcPr>
            <w:tcW w:w="2576"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New Roman" w:eastAsia="Times New Roman" w:hAnsi="Times New Roman" w:cs="Times New Roman"/>
                <w:noProof/>
              </w:rPr>
              <w:drawing>
                <wp:inline distT="0" distB="0" distL="0" distR="0">
                  <wp:extent cx="1558601" cy="365760"/>
                  <wp:effectExtent l="0" t="0" r="0" b="0"/>
                  <wp:docPr id="15" name="image8.png" descr="A colorful text with letter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A colorful text with letters&#10;&#10;Description automatically generated"/>
                          <pic:cNvPicPr preferRelativeResize="0"/>
                        </pic:nvPicPr>
                        <pic:blipFill>
                          <a:blip r:embed="rId17"/>
                          <a:srcRect l="13582"/>
                          <a:stretch>
                            <a:fillRect/>
                          </a:stretch>
                        </pic:blipFill>
                        <pic:spPr>
                          <a:xfrm>
                            <a:off x="0" y="0"/>
                            <a:ext cx="1558601" cy="365760"/>
                          </a:xfrm>
                          <a:prstGeom prst="rect">
                            <a:avLst/>
                          </a:prstGeom>
                          <a:ln/>
                        </pic:spPr>
                      </pic:pic>
                    </a:graphicData>
                  </a:graphic>
                </wp:inline>
              </w:drawing>
            </w:r>
          </w:p>
        </w:tc>
        <w:tc>
          <w:tcPr>
            <w:tcW w:w="90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1e-14</w:t>
            </w:r>
          </w:p>
        </w:tc>
        <w:tc>
          <w:tcPr>
            <w:tcW w:w="108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-3.255e+01</w:t>
            </w:r>
          </w:p>
        </w:tc>
        <w:tc>
          <w:tcPr>
            <w:tcW w:w="81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33.13%</w:t>
            </w:r>
          </w:p>
        </w:tc>
        <w:tc>
          <w:tcPr>
            <w:tcW w:w="1238"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21.50%</w:t>
            </w:r>
          </w:p>
        </w:tc>
        <w:tc>
          <w:tcPr>
            <w:tcW w:w="992"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53.8bp (64.2bp)</w:t>
            </w:r>
          </w:p>
        </w:tc>
        <w:tc>
          <w:tcPr>
            <w:tcW w:w="155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NFIC/MA0161.2/</w:t>
            </w:r>
            <w:proofErr w:type="gramStart"/>
            <w:r w:rsidRPr="00300E3E">
              <w:rPr>
                <w:rFonts w:ascii="Times" w:eastAsia="Times" w:hAnsi="Times" w:cs="Times"/>
              </w:rPr>
              <w:t>Jaspar(</w:t>
            </w:r>
            <w:proofErr w:type="gramEnd"/>
            <w:r w:rsidRPr="00300E3E">
              <w:rPr>
                <w:rFonts w:ascii="Times" w:eastAsia="Times" w:hAnsi="Times" w:cs="Times"/>
              </w:rPr>
              <w:t>0.818)</w:t>
            </w:r>
            <w:r w:rsidRPr="00300E3E">
              <w:rPr>
                <w:rFonts w:ascii="Times" w:eastAsia="Times" w:hAnsi="Times" w:cs="Times"/>
              </w:rPr>
              <w:br/>
            </w:r>
          </w:p>
        </w:tc>
      </w:tr>
      <w:tr w:rsidR="00A56FB5" w:rsidRPr="00300E3E" w:rsidTr="00924C62">
        <w:tc>
          <w:tcPr>
            <w:tcW w:w="754"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8</w:t>
            </w:r>
          </w:p>
        </w:tc>
        <w:tc>
          <w:tcPr>
            <w:tcW w:w="2576"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New Roman" w:eastAsia="Times New Roman" w:hAnsi="Times New Roman" w:cs="Times New Roman"/>
                <w:noProof/>
              </w:rPr>
              <w:drawing>
                <wp:inline distT="0" distB="0" distL="0" distR="0">
                  <wp:extent cx="1298863" cy="365760"/>
                  <wp:effectExtent l="0" t="0" r="0" b="0"/>
                  <wp:docPr id="6" name="image5.png" descr="A close-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A close-up of a logo&#10;&#10;Description automatically generated"/>
                          <pic:cNvPicPr preferRelativeResize="0"/>
                        </pic:nvPicPr>
                        <pic:blipFill>
                          <a:blip r:embed="rId18"/>
                          <a:srcRect l="14969"/>
                          <a:stretch>
                            <a:fillRect/>
                          </a:stretch>
                        </pic:blipFill>
                        <pic:spPr>
                          <a:xfrm>
                            <a:off x="0" y="0"/>
                            <a:ext cx="1298863" cy="365760"/>
                          </a:xfrm>
                          <a:prstGeom prst="rect">
                            <a:avLst/>
                          </a:prstGeom>
                          <a:ln/>
                        </pic:spPr>
                      </pic:pic>
                    </a:graphicData>
                  </a:graphic>
                </wp:inline>
              </w:drawing>
            </w:r>
          </w:p>
        </w:tc>
        <w:tc>
          <w:tcPr>
            <w:tcW w:w="90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1e-13</w:t>
            </w:r>
          </w:p>
        </w:tc>
        <w:tc>
          <w:tcPr>
            <w:tcW w:w="108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-3.068e+01</w:t>
            </w:r>
          </w:p>
        </w:tc>
        <w:tc>
          <w:tcPr>
            <w:tcW w:w="81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12.45%</w:t>
            </w:r>
          </w:p>
        </w:tc>
        <w:tc>
          <w:tcPr>
            <w:tcW w:w="1238"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5.57%</w:t>
            </w:r>
          </w:p>
        </w:tc>
        <w:tc>
          <w:tcPr>
            <w:tcW w:w="992"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55.6bp (63.3bp)</w:t>
            </w:r>
          </w:p>
        </w:tc>
        <w:tc>
          <w:tcPr>
            <w:tcW w:w="1550" w:type="dxa"/>
            <w:tcBorders>
              <w:top w:val="single" w:sz="6" w:space="0" w:color="000000"/>
              <w:left w:val="single" w:sz="6" w:space="0" w:color="000000"/>
              <w:bottom w:val="single" w:sz="6" w:space="0" w:color="000000"/>
              <w:right w:val="single" w:sz="6" w:space="0" w:color="000000"/>
            </w:tcBorders>
            <w:vAlign w:val="center"/>
          </w:tcPr>
          <w:p w:rsidR="00A56FB5" w:rsidRPr="00300E3E" w:rsidRDefault="00000000" w:rsidP="00924C62">
            <w:pPr>
              <w:spacing w:line="240" w:lineRule="auto"/>
              <w:jc w:val="both"/>
              <w:rPr>
                <w:rFonts w:ascii="Times" w:eastAsia="Times" w:hAnsi="Times" w:cs="Times"/>
              </w:rPr>
            </w:pPr>
            <w:r w:rsidRPr="00300E3E">
              <w:rPr>
                <w:rFonts w:ascii="Times" w:eastAsia="Times" w:hAnsi="Times" w:cs="Times"/>
              </w:rPr>
              <w:t>SF1(NR)/H295R-Nr5a1-ChIP-</w:t>
            </w:r>
            <w:proofErr w:type="gramStart"/>
            <w:r w:rsidRPr="00300E3E">
              <w:rPr>
                <w:rFonts w:ascii="Times" w:eastAsia="Times" w:hAnsi="Times" w:cs="Times"/>
              </w:rPr>
              <w:t>Seq(</w:t>
            </w:r>
            <w:proofErr w:type="gramEnd"/>
            <w:r w:rsidRPr="00300E3E">
              <w:rPr>
                <w:rFonts w:ascii="Times" w:eastAsia="Times" w:hAnsi="Times" w:cs="Times"/>
              </w:rPr>
              <w:t>GSE44220)/Homer(0.798)</w:t>
            </w:r>
            <w:r w:rsidRPr="00300E3E">
              <w:rPr>
                <w:rFonts w:ascii="Times" w:eastAsia="Times" w:hAnsi="Times" w:cs="Times"/>
              </w:rPr>
              <w:br/>
            </w:r>
          </w:p>
        </w:tc>
      </w:tr>
    </w:tbl>
    <w:p w:rsidR="00A56FB5" w:rsidRPr="00300E3E" w:rsidRDefault="00000000" w:rsidP="0008118D">
      <w:pPr>
        <w:spacing w:line="480" w:lineRule="auto"/>
        <w:jc w:val="both"/>
        <w:rPr>
          <w:rFonts w:ascii="Times New Roman" w:eastAsia="Times New Roman" w:hAnsi="Times New Roman" w:cs="Times New Roman"/>
          <w:b/>
          <w:sz w:val="24"/>
          <w:szCs w:val="24"/>
        </w:rPr>
      </w:pPr>
      <w:r w:rsidRPr="00300E3E">
        <w:rPr>
          <w:rFonts w:ascii="Times New Roman" w:eastAsia="Times New Roman" w:hAnsi="Times New Roman" w:cs="Times New Roman"/>
          <w:b/>
          <w:sz w:val="24"/>
          <w:szCs w:val="24"/>
        </w:rPr>
        <w:t xml:space="preserve">Supplementary table 6. </w:t>
      </w:r>
      <w:r w:rsidRPr="00300E3E">
        <w:rPr>
          <w:rFonts w:ascii="Times New Roman" w:eastAsia="Times New Roman" w:hAnsi="Times New Roman" w:cs="Times New Roman"/>
          <w:sz w:val="24"/>
          <w:szCs w:val="24"/>
        </w:rPr>
        <w:t>Significantly positively enriched transcription factor binding motifs following de novo Homer analysis of ATAC-</w:t>
      </w:r>
      <w:proofErr w:type="spellStart"/>
      <w:r w:rsidRPr="00300E3E">
        <w:rPr>
          <w:rFonts w:ascii="Times New Roman" w:eastAsia="Times New Roman" w:hAnsi="Times New Roman" w:cs="Times New Roman"/>
          <w:sz w:val="24"/>
          <w:szCs w:val="24"/>
        </w:rPr>
        <w:t>seq</w:t>
      </w:r>
      <w:proofErr w:type="spellEnd"/>
      <w:r w:rsidRPr="00300E3E">
        <w:rPr>
          <w:rFonts w:ascii="Times New Roman" w:eastAsia="Times New Roman" w:hAnsi="Times New Roman" w:cs="Times New Roman"/>
          <w:sz w:val="24"/>
          <w:szCs w:val="24"/>
        </w:rPr>
        <w:t xml:space="preserve"> data from rmIL11 treated left ventricular tissue compared to saline controls (n=4).</w:t>
      </w:r>
      <w:r w:rsidRPr="00300E3E">
        <w:br w:type="page"/>
      </w:r>
    </w:p>
    <w:tbl>
      <w:tblPr>
        <w:tblStyle w:val="a7"/>
        <w:tblW w:w="8775" w:type="dxa"/>
        <w:jc w:val="center"/>
        <w:tblBorders>
          <w:top w:val="nil"/>
          <w:left w:val="nil"/>
          <w:bottom w:val="nil"/>
          <w:right w:val="nil"/>
          <w:insideH w:val="nil"/>
          <w:insideV w:val="nil"/>
        </w:tblBorders>
        <w:tblLayout w:type="fixed"/>
        <w:tblLook w:val="0600" w:firstRow="0" w:lastRow="0" w:firstColumn="0" w:lastColumn="0" w:noHBand="1" w:noVBand="1"/>
      </w:tblPr>
      <w:tblGrid>
        <w:gridCol w:w="1620"/>
        <w:gridCol w:w="1260"/>
        <w:gridCol w:w="1350"/>
        <w:gridCol w:w="1260"/>
        <w:gridCol w:w="1350"/>
        <w:gridCol w:w="1935"/>
      </w:tblGrid>
      <w:tr w:rsidR="00A56FB5" w:rsidRPr="00300E3E">
        <w:trPr>
          <w:trHeight w:val="975"/>
          <w:jc w:val="center"/>
        </w:trPr>
        <w:tc>
          <w:tcPr>
            <w:tcW w:w="162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lastRenderedPageBreak/>
              <w:t xml:space="preserve"> </w:t>
            </w:r>
          </w:p>
        </w:tc>
        <w:tc>
          <w:tcPr>
            <w:tcW w:w="126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Control</w:t>
            </w:r>
            <w:r w:rsidRPr="00300E3E">
              <w:rPr>
                <w:b/>
                <w:sz w:val="24"/>
                <w:szCs w:val="24"/>
              </w:rPr>
              <w:br/>
              <w:t>+</w:t>
            </w:r>
            <w:r w:rsidRPr="00300E3E">
              <w:rPr>
                <w:b/>
                <w:sz w:val="24"/>
                <w:szCs w:val="24"/>
              </w:rPr>
              <w:br/>
              <w:t>saline</w:t>
            </w:r>
            <w:r w:rsidRPr="00300E3E">
              <w:rPr>
                <w:b/>
                <w:sz w:val="24"/>
                <w:szCs w:val="24"/>
              </w:rPr>
              <w:br/>
              <w:t>(n=4)</w:t>
            </w:r>
          </w:p>
        </w:tc>
        <w:tc>
          <w:tcPr>
            <w:tcW w:w="135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m6CMKO</w:t>
            </w:r>
            <w:r w:rsidRPr="00300E3E">
              <w:rPr>
                <w:b/>
                <w:sz w:val="24"/>
                <w:szCs w:val="24"/>
              </w:rPr>
              <w:br/>
              <w:t>+</w:t>
            </w:r>
            <w:r w:rsidRPr="00300E3E">
              <w:rPr>
                <w:b/>
                <w:sz w:val="24"/>
                <w:szCs w:val="24"/>
              </w:rPr>
              <w:br/>
              <w:t>saline</w:t>
            </w:r>
            <w:r w:rsidRPr="00300E3E">
              <w:rPr>
                <w:b/>
                <w:sz w:val="24"/>
                <w:szCs w:val="24"/>
              </w:rPr>
              <w:br/>
              <w:t>(n=4)</w:t>
            </w:r>
          </w:p>
        </w:tc>
        <w:tc>
          <w:tcPr>
            <w:tcW w:w="126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Control</w:t>
            </w:r>
            <w:r w:rsidRPr="00300E3E">
              <w:rPr>
                <w:b/>
                <w:sz w:val="24"/>
                <w:szCs w:val="24"/>
              </w:rPr>
              <w:br/>
              <w:t>+</w:t>
            </w:r>
            <w:r w:rsidRPr="00300E3E">
              <w:rPr>
                <w:b/>
                <w:sz w:val="24"/>
                <w:szCs w:val="24"/>
              </w:rPr>
              <w:br/>
              <w:t>rmIL11</w:t>
            </w:r>
            <w:r w:rsidRPr="00300E3E">
              <w:rPr>
                <w:b/>
                <w:sz w:val="24"/>
                <w:szCs w:val="24"/>
              </w:rPr>
              <w:br/>
              <w:t>(n=4)</w:t>
            </w:r>
          </w:p>
        </w:tc>
        <w:tc>
          <w:tcPr>
            <w:tcW w:w="135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m6CMKO</w:t>
            </w:r>
            <w:r w:rsidRPr="00300E3E">
              <w:rPr>
                <w:b/>
                <w:sz w:val="24"/>
                <w:szCs w:val="24"/>
              </w:rPr>
              <w:br/>
              <w:t>+</w:t>
            </w:r>
            <w:r w:rsidRPr="00300E3E">
              <w:rPr>
                <w:b/>
                <w:sz w:val="24"/>
                <w:szCs w:val="24"/>
              </w:rPr>
              <w:br/>
              <w:t>rmIL11</w:t>
            </w:r>
            <w:r w:rsidRPr="00300E3E">
              <w:rPr>
                <w:b/>
                <w:sz w:val="24"/>
                <w:szCs w:val="24"/>
              </w:rPr>
              <w:br/>
              <w:t>(n=4)</w:t>
            </w:r>
          </w:p>
        </w:tc>
        <w:tc>
          <w:tcPr>
            <w:tcW w:w="1935"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p-value</w:t>
            </w:r>
            <w:r w:rsidRPr="00300E3E">
              <w:rPr>
                <w:b/>
                <w:sz w:val="24"/>
                <w:szCs w:val="24"/>
              </w:rPr>
              <w:br/>
              <w:t>Control+IL11</w:t>
            </w:r>
            <w:r w:rsidRPr="00300E3E">
              <w:rPr>
                <w:b/>
                <w:sz w:val="24"/>
                <w:szCs w:val="24"/>
              </w:rPr>
              <w:br/>
              <w:t>vs</w:t>
            </w:r>
            <w:r w:rsidRPr="00300E3E">
              <w:rPr>
                <w:b/>
                <w:sz w:val="24"/>
                <w:szCs w:val="24"/>
              </w:rPr>
              <w:br/>
              <w:t>m6CMKO+IL11</w:t>
            </w:r>
          </w:p>
        </w:tc>
      </w:tr>
      <w:tr w:rsidR="00A56FB5" w:rsidRPr="00300E3E">
        <w:trPr>
          <w:trHeight w:val="283"/>
          <w:jc w:val="center"/>
        </w:trPr>
        <w:tc>
          <w:tcPr>
            <w:tcW w:w="162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Male</w:t>
            </w:r>
          </w:p>
        </w:tc>
        <w:tc>
          <w:tcPr>
            <w:tcW w:w="126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 xml:space="preserve"> </w:t>
            </w:r>
          </w:p>
        </w:tc>
        <w:tc>
          <w:tcPr>
            <w:tcW w:w="135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 xml:space="preserve"> </w:t>
            </w:r>
          </w:p>
        </w:tc>
        <w:tc>
          <w:tcPr>
            <w:tcW w:w="126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 xml:space="preserve"> </w:t>
            </w:r>
          </w:p>
        </w:tc>
        <w:tc>
          <w:tcPr>
            <w:tcW w:w="135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 xml:space="preserve"> </w:t>
            </w:r>
          </w:p>
        </w:tc>
        <w:tc>
          <w:tcPr>
            <w:tcW w:w="1935"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 xml:space="preserve"> </w:t>
            </w:r>
          </w:p>
        </w:tc>
      </w:tr>
      <w:tr w:rsidR="00A56FB5" w:rsidRPr="00300E3E">
        <w:trPr>
          <w:trHeight w:val="283"/>
          <w:jc w:val="center"/>
        </w:trPr>
        <w:tc>
          <w:tcPr>
            <w:tcW w:w="162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HR (bpm)</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423 ± 3.5</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492 ± 36</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548 ± 14</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434 ± 14.8</w:t>
            </w:r>
          </w:p>
        </w:tc>
        <w:tc>
          <w:tcPr>
            <w:tcW w:w="1935"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0.006</w:t>
            </w:r>
          </w:p>
        </w:tc>
      </w:tr>
      <w:tr w:rsidR="00A56FB5" w:rsidRPr="00300E3E">
        <w:trPr>
          <w:trHeight w:val="283"/>
          <w:jc w:val="center"/>
        </w:trPr>
        <w:tc>
          <w:tcPr>
            <w:tcW w:w="162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LVEF (%)</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58.2 ±3.4</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58.7 ±4.4</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32.4 ±5.6</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61.7 ±6.8</w:t>
            </w:r>
          </w:p>
        </w:tc>
        <w:tc>
          <w:tcPr>
            <w:tcW w:w="1935"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0.0004</w:t>
            </w:r>
          </w:p>
        </w:tc>
      </w:tr>
      <w:tr w:rsidR="00A56FB5" w:rsidRPr="00300E3E">
        <w:trPr>
          <w:trHeight w:val="283"/>
          <w:jc w:val="center"/>
        </w:trPr>
        <w:tc>
          <w:tcPr>
            <w:tcW w:w="162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VTI (mm)</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44.7 ±2.9</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35.4 ±2.6</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25.4 ±1.9</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34.1 ±1.4</w:t>
            </w:r>
          </w:p>
        </w:tc>
        <w:tc>
          <w:tcPr>
            <w:tcW w:w="1935"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0.045</w:t>
            </w:r>
          </w:p>
        </w:tc>
      </w:tr>
      <w:tr w:rsidR="00A56FB5" w:rsidRPr="00300E3E">
        <w:trPr>
          <w:trHeight w:val="283"/>
          <w:jc w:val="center"/>
        </w:trPr>
        <w:tc>
          <w:tcPr>
            <w:tcW w:w="162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GCS (%)</w:t>
            </w:r>
          </w:p>
        </w:tc>
        <w:tc>
          <w:tcPr>
            <w:tcW w:w="126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-27.2 ±2.0</w:t>
            </w:r>
          </w:p>
        </w:tc>
        <w:tc>
          <w:tcPr>
            <w:tcW w:w="135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-25.3 ±0.61</w:t>
            </w:r>
          </w:p>
        </w:tc>
        <w:tc>
          <w:tcPr>
            <w:tcW w:w="126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-13.5 ±2.9</w:t>
            </w:r>
          </w:p>
        </w:tc>
        <w:tc>
          <w:tcPr>
            <w:tcW w:w="135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-26.2 ±3.1</w:t>
            </w:r>
          </w:p>
        </w:tc>
        <w:tc>
          <w:tcPr>
            <w:tcW w:w="1935"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0.007</w:t>
            </w:r>
          </w:p>
        </w:tc>
      </w:tr>
      <w:tr w:rsidR="00A56FB5" w:rsidRPr="00300E3E">
        <w:trPr>
          <w:trHeight w:val="283"/>
          <w:jc w:val="center"/>
        </w:trPr>
        <w:tc>
          <w:tcPr>
            <w:tcW w:w="162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Female</w:t>
            </w:r>
          </w:p>
        </w:tc>
        <w:tc>
          <w:tcPr>
            <w:tcW w:w="126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 xml:space="preserve"> </w:t>
            </w:r>
          </w:p>
        </w:tc>
        <w:tc>
          <w:tcPr>
            <w:tcW w:w="135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 xml:space="preserve"> </w:t>
            </w:r>
          </w:p>
        </w:tc>
        <w:tc>
          <w:tcPr>
            <w:tcW w:w="126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 xml:space="preserve"> </w:t>
            </w:r>
          </w:p>
        </w:tc>
        <w:tc>
          <w:tcPr>
            <w:tcW w:w="1350"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 xml:space="preserve"> </w:t>
            </w:r>
          </w:p>
        </w:tc>
        <w:tc>
          <w:tcPr>
            <w:tcW w:w="1935" w:type="dxa"/>
            <w:tcBorders>
              <w:top w:val="nil"/>
              <w:left w:val="nil"/>
              <w:bottom w:val="single" w:sz="6" w:space="0" w:color="000000"/>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 xml:space="preserve"> </w:t>
            </w:r>
          </w:p>
        </w:tc>
      </w:tr>
      <w:tr w:rsidR="00A56FB5" w:rsidRPr="00300E3E">
        <w:trPr>
          <w:trHeight w:val="283"/>
          <w:jc w:val="center"/>
        </w:trPr>
        <w:tc>
          <w:tcPr>
            <w:tcW w:w="162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HR (bpm)</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442 ±17</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493 ±31</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558 ±11</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441 ±19</w:t>
            </w:r>
          </w:p>
        </w:tc>
        <w:tc>
          <w:tcPr>
            <w:tcW w:w="1935"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0.0005</w:t>
            </w:r>
          </w:p>
        </w:tc>
      </w:tr>
      <w:tr w:rsidR="00A56FB5" w:rsidRPr="00300E3E">
        <w:trPr>
          <w:trHeight w:val="283"/>
          <w:jc w:val="center"/>
        </w:trPr>
        <w:tc>
          <w:tcPr>
            <w:tcW w:w="162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LVEF (%)</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64.9 ±2.5</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62.8 ±3.9</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32.5 ±2.1</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61 ±2.6</w:t>
            </w:r>
          </w:p>
        </w:tc>
        <w:tc>
          <w:tcPr>
            <w:tcW w:w="1935"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0.0005</w:t>
            </w:r>
          </w:p>
        </w:tc>
      </w:tr>
      <w:tr w:rsidR="00A56FB5" w:rsidRPr="00300E3E">
        <w:trPr>
          <w:trHeight w:val="283"/>
          <w:jc w:val="center"/>
        </w:trPr>
        <w:tc>
          <w:tcPr>
            <w:tcW w:w="162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VTI (mm)</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30.8 ±1.8</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29.3 ±3.3</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18.2 ±1.2</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35 ±0.29</w:t>
            </w:r>
          </w:p>
        </w:tc>
        <w:tc>
          <w:tcPr>
            <w:tcW w:w="1935"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0.0001</w:t>
            </w:r>
          </w:p>
        </w:tc>
      </w:tr>
      <w:tr w:rsidR="00A56FB5" w:rsidRPr="00300E3E">
        <w:trPr>
          <w:trHeight w:val="283"/>
          <w:jc w:val="center"/>
        </w:trPr>
        <w:tc>
          <w:tcPr>
            <w:tcW w:w="162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b/>
                <w:sz w:val="24"/>
                <w:szCs w:val="24"/>
              </w:rPr>
            </w:pPr>
            <w:r w:rsidRPr="00300E3E">
              <w:rPr>
                <w:b/>
                <w:sz w:val="24"/>
                <w:szCs w:val="24"/>
              </w:rPr>
              <w:t>GCS (%)</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-29.6 ±2.6</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-30.7 ±2.3</w:t>
            </w:r>
          </w:p>
        </w:tc>
        <w:tc>
          <w:tcPr>
            <w:tcW w:w="126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-11.5 ±1.2</w:t>
            </w:r>
          </w:p>
        </w:tc>
        <w:tc>
          <w:tcPr>
            <w:tcW w:w="1350"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-28.5 ±2.4</w:t>
            </w:r>
          </w:p>
        </w:tc>
        <w:tc>
          <w:tcPr>
            <w:tcW w:w="1935" w:type="dxa"/>
            <w:tcBorders>
              <w:top w:val="nil"/>
              <w:left w:val="nil"/>
              <w:bottom w:val="nil"/>
              <w:right w:val="nil"/>
            </w:tcBorders>
            <w:tcMar>
              <w:top w:w="0" w:type="dxa"/>
              <w:left w:w="100" w:type="dxa"/>
              <w:bottom w:w="0" w:type="dxa"/>
              <w:right w:w="100" w:type="dxa"/>
            </w:tcMar>
            <w:vAlign w:val="center"/>
          </w:tcPr>
          <w:p w:rsidR="00A56FB5" w:rsidRPr="00300E3E" w:rsidRDefault="00000000" w:rsidP="00924C62">
            <w:pPr>
              <w:rPr>
                <w:sz w:val="24"/>
                <w:szCs w:val="24"/>
              </w:rPr>
            </w:pPr>
            <w:r w:rsidRPr="00300E3E">
              <w:rPr>
                <w:sz w:val="24"/>
                <w:szCs w:val="24"/>
              </w:rPr>
              <w:t>0.0002</w:t>
            </w:r>
          </w:p>
        </w:tc>
      </w:tr>
    </w:tbl>
    <w:p w:rsidR="00A56FB5" w:rsidRPr="00300E3E" w:rsidRDefault="00A56FB5" w:rsidP="0008118D">
      <w:pPr>
        <w:spacing w:line="480" w:lineRule="auto"/>
        <w:jc w:val="both"/>
        <w:rPr>
          <w:rFonts w:ascii="Times New Roman" w:eastAsia="Times New Roman" w:hAnsi="Times New Roman" w:cs="Times New Roman"/>
          <w:b/>
          <w:sz w:val="24"/>
          <w:szCs w:val="24"/>
        </w:rPr>
      </w:pPr>
    </w:p>
    <w:p w:rsidR="00A56FB5" w:rsidRPr="00300E3E" w:rsidRDefault="00000000" w:rsidP="0008118D">
      <w:pPr>
        <w:spacing w:line="480" w:lineRule="auto"/>
        <w:jc w:val="both"/>
        <w:rPr>
          <w:rFonts w:ascii="Times New Roman" w:eastAsia="Times New Roman" w:hAnsi="Times New Roman" w:cs="Times New Roman"/>
          <w:b/>
          <w:sz w:val="24"/>
          <w:szCs w:val="24"/>
        </w:rPr>
      </w:pPr>
      <w:r w:rsidRPr="00300E3E">
        <w:rPr>
          <w:rFonts w:ascii="Times New Roman" w:eastAsia="Times New Roman" w:hAnsi="Times New Roman" w:cs="Times New Roman"/>
          <w:b/>
          <w:sz w:val="24"/>
          <w:szCs w:val="24"/>
        </w:rPr>
        <w:t>Suppl table 7. Echocardiographic measurements in IL11 treated m6CMKO mice</w:t>
      </w:r>
    </w:p>
    <w:p w:rsidR="00A56FB5" w:rsidRPr="00300E3E" w:rsidRDefault="00000000" w:rsidP="0008118D">
      <w:pPr>
        <w:spacing w:after="240" w:line="480" w:lineRule="auto"/>
        <w:jc w:val="both"/>
        <w:rPr>
          <w:rFonts w:ascii="Times New Roman" w:eastAsia="Times New Roman" w:hAnsi="Times New Roman" w:cs="Times New Roman"/>
          <w:sz w:val="24"/>
          <w:szCs w:val="24"/>
        </w:rPr>
      </w:pPr>
      <w:r w:rsidRPr="00300E3E">
        <w:rPr>
          <w:rFonts w:ascii="Times New Roman" w:eastAsia="Times New Roman" w:hAnsi="Times New Roman" w:cs="Times New Roman"/>
          <w:sz w:val="24"/>
          <w:szCs w:val="24"/>
        </w:rPr>
        <w:t xml:space="preserve">Genetic cardiomyocyte-specific IL11 receptor knockout mice (m6CMKO) and </w:t>
      </w:r>
      <w:r w:rsidRPr="00300E3E">
        <w:rPr>
          <w:rFonts w:ascii="Times New Roman" w:eastAsia="Times New Roman" w:hAnsi="Times New Roman" w:cs="Times New Roman"/>
          <w:i/>
          <w:sz w:val="24"/>
          <w:szCs w:val="24"/>
        </w:rPr>
        <w:t>Il11ra1</w:t>
      </w:r>
      <w:r w:rsidRPr="00300E3E">
        <w:rPr>
          <w:rFonts w:ascii="Times New Roman" w:eastAsia="Times New Roman" w:hAnsi="Times New Roman" w:cs="Times New Roman"/>
          <w:i/>
          <w:sz w:val="24"/>
          <w:szCs w:val="24"/>
          <w:vertAlign w:val="superscript"/>
        </w:rPr>
        <w:t>fl/</w:t>
      </w:r>
      <w:proofErr w:type="spellStart"/>
      <w:r w:rsidRPr="00300E3E">
        <w:rPr>
          <w:rFonts w:ascii="Times New Roman" w:eastAsia="Times New Roman" w:hAnsi="Times New Roman" w:cs="Times New Roman"/>
          <w:i/>
          <w:sz w:val="24"/>
          <w:szCs w:val="24"/>
          <w:vertAlign w:val="superscript"/>
        </w:rPr>
        <w:t>fl</w:t>
      </w:r>
      <w:proofErr w:type="spellEnd"/>
      <w:r w:rsidRPr="00300E3E">
        <w:rPr>
          <w:rFonts w:ascii="Times New Roman" w:eastAsia="Times New Roman" w:hAnsi="Times New Roman" w:cs="Times New Roman"/>
          <w:i/>
          <w:sz w:val="24"/>
          <w:szCs w:val="24"/>
        </w:rPr>
        <w:t xml:space="preserve"> </w:t>
      </w:r>
      <w:r w:rsidRPr="00300E3E">
        <w:rPr>
          <w:rFonts w:ascii="Times New Roman" w:eastAsia="Times New Roman" w:hAnsi="Times New Roman" w:cs="Times New Roman"/>
          <w:sz w:val="24"/>
          <w:szCs w:val="24"/>
        </w:rPr>
        <w:t xml:space="preserve">controls (Control) were treated with saline (2 </w:t>
      </w:r>
      <w:proofErr w:type="spellStart"/>
      <w:r w:rsidRPr="00300E3E">
        <w:rPr>
          <w:rFonts w:ascii="Times New Roman" w:eastAsia="Times New Roman" w:hAnsi="Times New Roman" w:cs="Times New Roman"/>
          <w:sz w:val="24"/>
          <w:szCs w:val="24"/>
        </w:rPr>
        <w:t>uL</w:t>
      </w:r>
      <w:proofErr w:type="spellEnd"/>
      <w:r w:rsidRPr="00300E3E">
        <w:rPr>
          <w:rFonts w:ascii="Times New Roman" w:eastAsia="Times New Roman" w:hAnsi="Times New Roman" w:cs="Times New Roman"/>
          <w:sz w:val="24"/>
          <w:szCs w:val="24"/>
        </w:rPr>
        <w:t xml:space="preserve">/kg) or rmIL11 (200 µg/kg) for 2 hours. Echocardiographic parameters were recorded under isoflurane anaesthetic. Values are reported as </w:t>
      </w:r>
      <w:proofErr w:type="spellStart"/>
      <w:r w:rsidRPr="00300E3E">
        <w:rPr>
          <w:rFonts w:ascii="Times New Roman" w:eastAsia="Times New Roman" w:hAnsi="Times New Roman" w:cs="Times New Roman"/>
          <w:sz w:val="24"/>
          <w:szCs w:val="24"/>
        </w:rPr>
        <w:t>mean±SEM</w:t>
      </w:r>
      <w:proofErr w:type="spellEnd"/>
      <w:r w:rsidRPr="00300E3E">
        <w:rPr>
          <w:rFonts w:ascii="Times New Roman" w:eastAsia="Times New Roman" w:hAnsi="Times New Roman" w:cs="Times New Roman"/>
          <w:sz w:val="24"/>
          <w:szCs w:val="24"/>
        </w:rPr>
        <w:t xml:space="preserve">. </w:t>
      </w:r>
      <w:r w:rsidRPr="00300E3E">
        <w:rPr>
          <w:rFonts w:ascii="Times New Roman" w:eastAsia="Times New Roman" w:hAnsi="Times New Roman" w:cs="Times New Roman"/>
          <w:i/>
          <w:sz w:val="24"/>
          <w:szCs w:val="24"/>
        </w:rPr>
        <w:t xml:space="preserve">Statistics: Comparison between groups by one-way ANOVA with Sidak’s multiple comparisons. P-values less than 0.05 are considered significant. </w:t>
      </w:r>
      <w:r w:rsidRPr="00300E3E">
        <w:rPr>
          <w:rFonts w:ascii="Times New Roman" w:eastAsia="Times New Roman" w:hAnsi="Times New Roman" w:cs="Times New Roman"/>
          <w:sz w:val="24"/>
          <w:szCs w:val="24"/>
        </w:rPr>
        <w:t xml:space="preserve">Abbreviations used </w:t>
      </w:r>
      <w:r w:rsidRPr="00300E3E">
        <w:rPr>
          <w:rFonts w:ascii="Times New Roman" w:eastAsia="Times New Roman" w:hAnsi="Times New Roman" w:cs="Times New Roman"/>
          <w:b/>
          <w:sz w:val="24"/>
          <w:szCs w:val="24"/>
        </w:rPr>
        <w:t>HR</w:t>
      </w:r>
      <w:r w:rsidRPr="00300E3E">
        <w:rPr>
          <w:rFonts w:ascii="Times New Roman" w:eastAsia="Times New Roman" w:hAnsi="Times New Roman" w:cs="Times New Roman"/>
          <w:sz w:val="24"/>
          <w:szCs w:val="24"/>
        </w:rPr>
        <w:t xml:space="preserve">, heart rate; </w:t>
      </w:r>
      <w:proofErr w:type="gramStart"/>
      <w:r w:rsidRPr="00300E3E">
        <w:rPr>
          <w:rFonts w:ascii="Times New Roman" w:eastAsia="Times New Roman" w:hAnsi="Times New Roman" w:cs="Times New Roman"/>
          <w:b/>
          <w:sz w:val="24"/>
          <w:szCs w:val="24"/>
        </w:rPr>
        <w:t>bpm</w:t>
      </w:r>
      <w:r w:rsidRPr="00300E3E">
        <w:rPr>
          <w:rFonts w:ascii="Times New Roman" w:eastAsia="Times New Roman" w:hAnsi="Times New Roman" w:cs="Times New Roman"/>
          <w:sz w:val="24"/>
          <w:szCs w:val="24"/>
        </w:rPr>
        <w:t>:,</w:t>
      </w:r>
      <w:proofErr w:type="gramEnd"/>
      <w:r w:rsidRPr="00300E3E">
        <w:rPr>
          <w:rFonts w:ascii="Times New Roman" w:eastAsia="Times New Roman" w:hAnsi="Times New Roman" w:cs="Times New Roman"/>
          <w:sz w:val="24"/>
          <w:szCs w:val="24"/>
        </w:rPr>
        <w:t xml:space="preserve"> beats per minute, </w:t>
      </w:r>
      <w:r w:rsidRPr="00300E3E">
        <w:rPr>
          <w:rFonts w:ascii="Times New Roman" w:eastAsia="Times New Roman" w:hAnsi="Times New Roman" w:cs="Times New Roman"/>
          <w:b/>
          <w:sz w:val="24"/>
          <w:szCs w:val="24"/>
        </w:rPr>
        <w:t>LVEF</w:t>
      </w:r>
      <w:r w:rsidRPr="00300E3E">
        <w:rPr>
          <w:rFonts w:ascii="Times New Roman" w:eastAsia="Times New Roman" w:hAnsi="Times New Roman" w:cs="Times New Roman"/>
          <w:sz w:val="24"/>
          <w:szCs w:val="24"/>
        </w:rPr>
        <w:t xml:space="preserve">, left ventricular ejection fraction; </w:t>
      </w:r>
      <w:r w:rsidRPr="00300E3E">
        <w:rPr>
          <w:rFonts w:ascii="Times New Roman" w:eastAsia="Times New Roman" w:hAnsi="Times New Roman" w:cs="Times New Roman"/>
          <w:b/>
          <w:sz w:val="24"/>
          <w:szCs w:val="24"/>
        </w:rPr>
        <w:t>VT</w:t>
      </w:r>
      <w:r w:rsidRPr="00300E3E">
        <w:rPr>
          <w:rFonts w:ascii="Times New Roman" w:eastAsia="Times New Roman" w:hAnsi="Times New Roman" w:cs="Times New Roman"/>
          <w:sz w:val="24"/>
          <w:szCs w:val="24"/>
        </w:rPr>
        <w:t>I, velocity time integral from pulse wave doppler trace in the aortic arch;</w:t>
      </w:r>
      <w:r w:rsidRPr="00300E3E">
        <w:rPr>
          <w:rFonts w:ascii="Times New Roman" w:eastAsia="Times New Roman" w:hAnsi="Times New Roman" w:cs="Times New Roman"/>
          <w:b/>
          <w:sz w:val="24"/>
          <w:szCs w:val="24"/>
        </w:rPr>
        <w:t xml:space="preserve"> GCS</w:t>
      </w:r>
      <w:r w:rsidRPr="00300E3E">
        <w:rPr>
          <w:rFonts w:ascii="Times New Roman" w:eastAsia="Times New Roman" w:hAnsi="Times New Roman" w:cs="Times New Roman"/>
          <w:sz w:val="24"/>
          <w:szCs w:val="24"/>
        </w:rPr>
        <w:t>, global circumferential strain.</w:t>
      </w:r>
      <w:r w:rsidRPr="00300E3E">
        <w:br w:type="page"/>
      </w:r>
    </w:p>
    <w:p w:rsidR="00A56FB5" w:rsidRPr="00300E3E" w:rsidRDefault="00000000" w:rsidP="001B18A5">
      <w:pPr>
        <w:pStyle w:val="Heading1"/>
      </w:pPr>
      <w:bookmarkStart w:id="2" w:name="_uf56wvulxgsa" w:colFirst="0" w:colLast="0"/>
      <w:bookmarkEnd w:id="2"/>
      <w:r w:rsidRPr="00300E3E">
        <w:lastRenderedPageBreak/>
        <w:t>Supplementary Figures</w:t>
      </w:r>
    </w:p>
    <w:p w:rsidR="00A56FB5" w:rsidRPr="00300E3E" w:rsidRDefault="00000000" w:rsidP="0008118D">
      <w:pPr>
        <w:spacing w:line="480" w:lineRule="auto"/>
        <w:jc w:val="center"/>
        <w:rPr>
          <w:rFonts w:ascii="Times New Roman" w:eastAsia="Times New Roman" w:hAnsi="Times New Roman" w:cs="Times New Roman"/>
        </w:rPr>
      </w:pPr>
      <w:r w:rsidRPr="00300E3E">
        <w:rPr>
          <w:rFonts w:ascii="Times New Roman" w:eastAsia="Times New Roman" w:hAnsi="Times New Roman" w:cs="Times New Roman"/>
          <w:noProof/>
        </w:rPr>
        <w:drawing>
          <wp:inline distT="114300" distB="114300" distL="114300" distR="114300">
            <wp:extent cx="4171686" cy="4854011"/>
            <wp:effectExtent l="0" t="0" r="0" b="0"/>
            <wp:docPr id="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rotWithShape="1">
                    <a:blip r:embed="rId19"/>
                    <a:srcRect b="-601"/>
                    <a:stretch/>
                  </pic:blipFill>
                  <pic:spPr bwMode="auto">
                    <a:xfrm>
                      <a:off x="0" y="0"/>
                      <a:ext cx="4171950" cy="4854318"/>
                    </a:xfrm>
                    <a:prstGeom prst="rect">
                      <a:avLst/>
                    </a:prstGeom>
                    <a:ln>
                      <a:noFill/>
                    </a:ln>
                    <a:extLst>
                      <a:ext uri="{53640926-AAD7-44D8-BBD7-CCE9431645EC}">
                        <a14:shadowObscured xmlns:a14="http://schemas.microsoft.com/office/drawing/2010/main"/>
                      </a:ext>
                    </a:extLst>
                  </pic:spPr>
                </pic:pic>
              </a:graphicData>
            </a:graphic>
          </wp:inline>
        </w:drawing>
      </w:r>
    </w:p>
    <w:p w:rsidR="00A56FB5" w:rsidRPr="00300E3E" w:rsidRDefault="00000000" w:rsidP="0008118D">
      <w:pPr>
        <w:spacing w:line="480" w:lineRule="auto"/>
        <w:jc w:val="both"/>
        <w:rPr>
          <w:rFonts w:ascii="Times New Roman" w:eastAsia="Times New Roman" w:hAnsi="Times New Roman" w:cs="Times New Roman"/>
          <w:b/>
        </w:rPr>
      </w:pPr>
      <w:r w:rsidRPr="00300E3E">
        <w:rPr>
          <w:rFonts w:ascii="Times New Roman" w:eastAsia="Times New Roman" w:hAnsi="Times New Roman" w:cs="Times New Roman"/>
          <w:b/>
        </w:rPr>
        <w:t>Supplementary Figure 1. IL11 and IL6 signalling within the heart</w:t>
      </w:r>
    </w:p>
    <w:p w:rsidR="00A56FB5" w:rsidRPr="00300E3E" w:rsidRDefault="00000000" w:rsidP="0008118D">
      <w:pPr>
        <w:spacing w:line="480" w:lineRule="auto"/>
        <w:jc w:val="both"/>
        <w:rPr>
          <w:rFonts w:ascii="Times New Roman" w:eastAsia="Times New Roman" w:hAnsi="Times New Roman" w:cs="Times New Roman"/>
          <w:i/>
        </w:rPr>
      </w:pPr>
      <w:r w:rsidRPr="00300E3E">
        <w:rPr>
          <w:rFonts w:ascii="Times New Roman" w:eastAsia="Times New Roman" w:hAnsi="Times New Roman" w:cs="Times New Roman"/>
          <w:b/>
        </w:rPr>
        <w:t>(A)</w:t>
      </w:r>
      <w:r w:rsidRPr="00300E3E">
        <w:rPr>
          <w:rFonts w:ascii="Times New Roman" w:eastAsia="Times New Roman" w:hAnsi="Times New Roman" w:cs="Times New Roman"/>
        </w:rPr>
        <w:t xml:space="preserve"> Western blot of pSTAT3/STAT3 from male C57BL/6J mice treated with 200 µg/kg of rmIL6, rmIL11 or an equivalent volume of saline. </w:t>
      </w:r>
      <w:r w:rsidRPr="00300E3E">
        <w:rPr>
          <w:rFonts w:ascii="Times New Roman" w:eastAsia="Times New Roman" w:hAnsi="Times New Roman" w:cs="Times New Roman"/>
          <w:b/>
        </w:rPr>
        <w:t>(B)</w:t>
      </w:r>
      <w:r w:rsidRPr="00300E3E">
        <w:rPr>
          <w:rFonts w:ascii="Times New Roman" w:eastAsia="Times New Roman" w:hAnsi="Times New Roman" w:cs="Times New Roman"/>
        </w:rPr>
        <w:t xml:space="preserve"> Quantification of western blot from (A). Quantification of expression of </w:t>
      </w:r>
      <w:r w:rsidRPr="00300E3E">
        <w:rPr>
          <w:rFonts w:ascii="Times New Roman" w:eastAsia="Times New Roman" w:hAnsi="Times New Roman" w:cs="Times New Roman"/>
          <w:b/>
        </w:rPr>
        <w:t>(C)</w:t>
      </w:r>
      <w:r w:rsidRPr="00300E3E">
        <w:rPr>
          <w:rFonts w:ascii="Times New Roman" w:eastAsia="Times New Roman" w:hAnsi="Times New Roman" w:cs="Times New Roman"/>
        </w:rPr>
        <w:t xml:space="preserve"> pSTAT3 compared to total STAT3 and </w:t>
      </w:r>
      <w:r w:rsidRPr="00300E3E">
        <w:rPr>
          <w:rFonts w:ascii="Times New Roman" w:eastAsia="Times New Roman" w:hAnsi="Times New Roman" w:cs="Times New Roman"/>
          <w:b/>
        </w:rPr>
        <w:t>(D)</w:t>
      </w:r>
      <w:r w:rsidRPr="00300E3E">
        <w:rPr>
          <w:rFonts w:ascii="Times New Roman" w:eastAsia="Times New Roman" w:hAnsi="Times New Roman" w:cs="Times New Roman"/>
        </w:rPr>
        <w:t xml:space="preserve"> </w:t>
      </w:r>
      <w:proofErr w:type="spellStart"/>
      <w:r w:rsidRPr="00300E3E">
        <w:rPr>
          <w:rFonts w:ascii="Times New Roman" w:eastAsia="Times New Roman" w:hAnsi="Times New Roman" w:cs="Times New Roman"/>
        </w:rPr>
        <w:t>pJNK</w:t>
      </w:r>
      <w:proofErr w:type="spellEnd"/>
      <w:r w:rsidRPr="00300E3E">
        <w:rPr>
          <w:rFonts w:ascii="Times New Roman" w:eastAsia="Times New Roman" w:hAnsi="Times New Roman" w:cs="Times New Roman"/>
        </w:rPr>
        <w:t xml:space="preserve"> compared to total JNK from Figure 1i.</w:t>
      </w:r>
      <w:r w:rsidR="000B78DA" w:rsidRPr="00300E3E">
        <w:rPr>
          <w:rFonts w:ascii="Times New Roman" w:eastAsia="Times New Roman" w:hAnsi="Times New Roman" w:cs="Times New Roman"/>
        </w:rPr>
        <w:t xml:space="preserve"> </w:t>
      </w:r>
      <w:r w:rsidRPr="00300E3E">
        <w:rPr>
          <w:rFonts w:ascii="Times New Roman" w:eastAsia="Times New Roman" w:hAnsi="Times New Roman" w:cs="Times New Roman"/>
          <w:i/>
        </w:rPr>
        <w:t>Statistics: One-way ANOVA with Dunn’s multiple comparison testing. Significance denoted as **p&lt;0.01, ***p&lt;0.001, ****p&lt;0.0001</w:t>
      </w:r>
      <w:r w:rsidRPr="00300E3E">
        <w:br w:type="page"/>
      </w:r>
    </w:p>
    <w:p w:rsidR="00A56FB5" w:rsidRPr="00300E3E" w:rsidRDefault="00000000" w:rsidP="0008118D">
      <w:pPr>
        <w:spacing w:line="480" w:lineRule="auto"/>
        <w:jc w:val="both"/>
        <w:rPr>
          <w:rFonts w:ascii="Times New Roman" w:eastAsia="Times New Roman" w:hAnsi="Times New Roman" w:cs="Times New Roman"/>
        </w:rPr>
      </w:pPr>
      <w:r w:rsidRPr="00300E3E">
        <w:rPr>
          <w:rFonts w:ascii="Times New Roman" w:eastAsia="Times New Roman" w:hAnsi="Times New Roman" w:cs="Times New Roman"/>
          <w:noProof/>
        </w:rPr>
        <w:lastRenderedPageBreak/>
        <w:drawing>
          <wp:inline distT="114300" distB="114300" distL="114300" distR="114300">
            <wp:extent cx="5731200" cy="4902200"/>
            <wp:effectExtent l="0" t="0" r="0" b="0"/>
            <wp:docPr id="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0"/>
                    <a:srcRect l="-459"/>
                    <a:stretch>
                      <a:fillRect/>
                    </a:stretch>
                  </pic:blipFill>
                  <pic:spPr>
                    <a:xfrm>
                      <a:off x="0" y="0"/>
                      <a:ext cx="5731200" cy="4902200"/>
                    </a:xfrm>
                    <a:prstGeom prst="rect">
                      <a:avLst/>
                    </a:prstGeom>
                    <a:ln/>
                  </pic:spPr>
                </pic:pic>
              </a:graphicData>
            </a:graphic>
          </wp:inline>
        </w:drawing>
      </w:r>
    </w:p>
    <w:p w:rsidR="00A56FB5" w:rsidRPr="00300E3E" w:rsidRDefault="00000000" w:rsidP="0008118D">
      <w:pPr>
        <w:spacing w:line="480" w:lineRule="auto"/>
        <w:jc w:val="both"/>
        <w:rPr>
          <w:rFonts w:ascii="Times New Roman" w:eastAsia="Times New Roman" w:hAnsi="Times New Roman" w:cs="Times New Roman"/>
          <w:b/>
        </w:rPr>
      </w:pPr>
      <w:r w:rsidRPr="00300E3E">
        <w:rPr>
          <w:rFonts w:ascii="Times New Roman" w:eastAsia="Times New Roman" w:hAnsi="Times New Roman" w:cs="Times New Roman"/>
          <w:b/>
        </w:rPr>
        <w:t>Supplementary Figure 2. Bulk myocardial RNA-sequencing at 3 and 6 hours</w:t>
      </w:r>
    </w:p>
    <w:p w:rsidR="00A56FB5" w:rsidRPr="00300E3E" w:rsidRDefault="00000000" w:rsidP="0008118D">
      <w:pPr>
        <w:spacing w:line="480" w:lineRule="auto"/>
        <w:jc w:val="both"/>
        <w:rPr>
          <w:rFonts w:ascii="Times New Roman" w:eastAsia="Times New Roman" w:hAnsi="Times New Roman" w:cs="Times New Roman"/>
        </w:rPr>
        <w:sectPr w:rsidR="00A56FB5" w:rsidRPr="00300E3E" w:rsidSect="0008118D">
          <w:pgSz w:w="11909" w:h="16834"/>
          <w:pgMar w:top="1440" w:right="1440" w:bottom="1440" w:left="1440" w:header="720" w:footer="720" w:gutter="0"/>
          <w:lnNumType w:countBy="1"/>
          <w:cols w:space="720"/>
          <w:docGrid w:linePitch="299"/>
        </w:sectPr>
      </w:pPr>
      <w:r w:rsidRPr="00300E3E">
        <w:rPr>
          <w:rFonts w:ascii="Times New Roman" w:eastAsia="Times New Roman" w:hAnsi="Times New Roman" w:cs="Times New Roman"/>
        </w:rPr>
        <w:t xml:space="preserve">Analysis of differentially expressed genes from left ventricle RNA </w:t>
      </w:r>
      <w:proofErr w:type="spellStart"/>
      <w:r w:rsidRPr="00300E3E">
        <w:rPr>
          <w:rFonts w:ascii="Times New Roman" w:eastAsia="Times New Roman" w:hAnsi="Times New Roman" w:cs="Times New Roman"/>
        </w:rPr>
        <w:t>seq</w:t>
      </w:r>
      <w:proofErr w:type="spellEnd"/>
      <w:r w:rsidRPr="00300E3E">
        <w:rPr>
          <w:rFonts w:ascii="Times New Roman" w:eastAsia="Times New Roman" w:hAnsi="Times New Roman" w:cs="Times New Roman"/>
        </w:rPr>
        <w:t xml:space="preserve"> data following rmIL11 injection compared to saline injection. </w:t>
      </w:r>
      <w:r w:rsidRPr="00300E3E">
        <w:rPr>
          <w:rFonts w:ascii="Times New Roman" w:eastAsia="Times New Roman" w:hAnsi="Times New Roman" w:cs="Times New Roman"/>
          <w:b/>
        </w:rPr>
        <w:t>(A)</w:t>
      </w:r>
      <w:r w:rsidRPr="00300E3E">
        <w:rPr>
          <w:rFonts w:ascii="Times New Roman" w:eastAsia="Times New Roman" w:hAnsi="Times New Roman" w:cs="Times New Roman"/>
        </w:rPr>
        <w:t xml:space="preserve"> Top 20 most significantly enriched KEGG terms 3 hours after injection (n=4) and</w:t>
      </w:r>
      <w:r w:rsidRPr="00300E3E">
        <w:rPr>
          <w:rFonts w:ascii="Times New Roman" w:eastAsia="Times New Roman" w:hAnsi="Times New Roman" w:cs="Times New Roman"/>
          <w:b/>
        </w:rPr>
        <w:t xml:space="preserve"> (B) </w:t>
      </w:r>
      <w:r w:rsidRPr="00300E3E">
        <w:rPr>
          <w:rFonts w:ascii="Times New Roman" w:eastAsia="Times New Roman" w:hAnsi="Times New Roman" w:cs="Times New Roman"/>
        </w:rPr>
        <w:t xml:space="preserve">top 20 most enriched GSEA terms 3 hours after injection (n=4). </w:t>
      </w:r>
      <w:r w:rsidRPr="00300E3E">
        <w:rPr>
          <w:rFonts w:ascii="Times New Roman" w:eastAsia="Times New Roman" w:hAnsi="Times New Roman" w:cs="Times New Roman"/>
          <w:b/>
        </w:rPr>
        <w:t>(C)</w:t>
      </w:r>
      <w:r w:rsidRPr="00300E3E">
        <w:rPr>
          <w:rFonts w:ascii="Times New Roman" w:eastAsia="Times New Roman" w:hAnsi="Times New Roman" w:cs="Times New Roman"/>
        </w:rPr>
        <w:t xml:space="preserve"> Top 20 most significantly enriched KEGG terms 6 hours after injection (n=4) and </w:t>
      </w:r>
      <w:r w:rsidRPr="00300E3E">
        <w:rPr>
          <w:rFonts w:ascii="Times New Roman" w:eastAsia="Times New Roman" w:hAnsi="Times New Roman" w:cs="Times New Roman"/>
          <w:b/>
        </w:rPr>
        <w:t>(D)</w:t>
      </w:r>
      <w:r w:rsidRPr="00300E3E">
        <w:rPr>
          <w:rFonts w:ascii="Times New Roman" w:eastAsia="Times New Roman" w:hAnsi="Times New Roman" w:cs="Times New Roman"/>
        </w:rPr>
        <w:t xml:space="preserve"> all significantly enriched GSEA terms 6 hours after injection (n=4).</w:t>
      </w:r>
    </w:p>
    <w:p w:rsidR="00A56FB5" w:rsidRPr="00300E3E" w:rsidRDefault="00000000" w:rsidP="0008118D">
      <w:pPr>
        <w:spacing w:line="480" w:lineRule="auto"/>
        <w:jc w:val="center"/>
        <w:rPr>
          <w:rFonts w:ascii="Times New Roman" w:eastAsia="Times New Roman" w:hAnsi="Times New Roman" w:cs="Times New Roman"/>
        </w:rPr>
      </w:pPr>
      <w:r w:rsidRPr="00300E3E">
        <w:rPr>
          <w:rFonts w:ascii="Times New Roman" w:eastAsia="Times New Roman" w:hAnsi="Times New Roman" w:cs="Times New Roman"/>
          <w:noProof/>
        </w:rPr>
        <w:lastRenderedPageBreak/>
        <w:drawing>
          <wp:inline distT="114300" distB="114300" distL="114300" distR="114300">
            <wp:extent cx="4614199" cy="7053263"/>
            <wp:effectExtent l="0" t="0" r="0" b="0"/>
            <wp:docPr id="1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1"/>
                    <a:srcRect t="229" b="229"/>
                    <a:stretch>
                      <a:fillRect/>
                    </a:stretch>
                  </pic:blipFill>
                  <pic:spPr>
                    <a:xfrm>
                      <a:off x="0" y="0"/>
                      <a:ext cx="4614199" cy="7053263"/>
                    </a:xfrm>
                    <a:prstGeom prst="rect">
                      <a:avLst/>
                    </a:prstGeom>
                    <a:ln/>
                  </pic:spPr>
                </pic:pic>
              </a:graphicData>
            </a:graphic>
          </wp:inline>
        </w:drawing>
      </w:r>
    </w:p>
    <w:p w:rsidR="00A56FB5" w:rsidRPr="00300E3E" w:rsidRDefault="00000000" w:rsidP="0008118D">
      <w:pPr>
        <w:spacing w:line="480" w:lineRule="auto"/>
        <w:jc w:val="both"/>
        <w:rPr>
          <w:rFonts w:ascii="Times New Roman" w:eastAsia="Times New Roman" w:hAnsi="Times New Roman" w:cs="Times New Roman"/>
          <w:b/>
        </w:rPr>
      </w:pPr>
      <w:r w:rsidRPr="00300E3E">
        <w:rPr>
          <w:rFonts w:ascii="Times New Roman" w:eastAsia="Times New Roman" w:hAnsi="Times New Roman" w:cs="Times New Roman"/>
          <w:b/>
        </w:rPr>
        <w:t xml:space="preserve">Supplementary Figure 3. Quality assessment of </w:t>
      </w:r>
      <w:proofErr w:type="spellStart"/>
      <w:r w:rsidRPr="00300E3E">
        <w:rPr>
          <w:rFonts w:ascii="Times New Roman" w:eastAsia="Times New Roman" w:hAnsi="Times New Roman" w:cs="Times New Roman"/>
          <w:b/>
        </w:rPr>
        <w:t>snRNAseq</w:t>
      </w:r>
      <w:proofErr w:type="spellEnd"/>
      <w:r w:rsidRPr="00300E3E">
        <w:rPr>
          <w:rFonts w:ascii="Times New Roman" w:eastAsia="Times New Roman" w:hAnsi="Times New Roman" w:cs="Times New Roman"/>
          <w:b/>
        </w:rPr>
        <w:t xml:space="preserve"> data </w:t>
      </w:r>
    </w:p>
    <w:p w:rsidR="00A56FB5" w:rsidRPr="00300E3E" w:rsidRDefault="00000000" w:rsidP="0008118D">
      <w:pPr>
        <w:spacing w:line="480" w:lineRule="auto"/>
        <w:jc w:val="both"/>
        <w:rPr>
          <w:rFonts w:ascii="Times New Roman" w:eastAsia="Times New Roman" w:hAnsi="Times New Roman" w:cs="Times New Roman"/>
        </w:rPr>
        <w:sectPr w:rsidR="00A56FB5" w:rsidRPr="00300E3E" w:rsidSect="0008118D">
          <w:pgSz w:w="11909" w:h="16834"/>
          <w:pgMar w:top="1440" w:right="1440" w:bottom="1440" w:left="1440" w:header="720" w:footer="720" w:gutter="0"/>
          <w:lnNumType w:countBy="1"/>
          <w:cols w:space="720"/>
        </w:sectPr>
      </w:pPr>
      <w:r w:rsidRPr="00300E3E">
        <w:rPr>
          <w:rFonts w:ascii="Times New Roman" w:eastAsia="Times New Roman" w:hAnsi="Times New Roman" w:cs="Times New Roman"/>
          <w:b/>
        </w:rPr>
        <w:t>(A)</w:t>
      </w:r>
      <w:r w:rsidRPr="00300E3E">
        <w:rPr>
          <w:rFonts w:ascii="Times New Roman" w:eastAsia="Times New Roman" w:hAnsi="Times New Roman" w:cs="Times New Roman"/>
        </w:rPr>
        <w:t xml:space="preserve"> Estimated number of nuclei, mean reads and median unique molecular identifier (UMI) count per nuclei, and cDNA concentration (ng/µl). </w:t>
      </w:r>
      <w:r w:rsidRPr="00300E3E">
        <w:rPr>
          <w:rFonts w:ascii="Times New Roman" w:eastAsia="Times New Roman" w:hAnsi="Times New Roman" w:cs="Times New Roman"/>
          <w:b/>
        </w:rPr>
        <w:t>(B)</w:t>
      </w:r>
      <w:r w:rsidRPr="00300E3E">
        <w:rPr>
          <w:rFonts w:ascii="Times New Roman" w:eastAsia="Times New Roman" w:hAnsi="Times New Roman" w:cs="Times New Roman"/>
        </w:rPr>
        <w:t xml:space="preserve"> Colour coded barcode rank plots across all samples shows classification of nuclei. Turquoise represents nuclei-containing droplets (true); Red represents empty droplet, background, or ambient RNA (false). A clear distinction between nuclei containing droplets </w:t>
      </w:r>
      <w:r w:rsidRPr="00300E3E">
        <w:rPr>
          <w:rFonts w:ascii="Times New Roman" w:eastAsia="Times New Roman" w:hAnsi="Times New Roman" w:cs="Times New Roman"/>
        </w:rPr>
        <w:lastRenderedPageBreak/>
        <w:t xml:space="preserve">and empty droplets (background ambient RNA) indicates a low overall background. </w:t>
      </w:r>
      <w:r w:rsidRPr="00300E3E">
        <w:rPr>
          <w:rFonts w:ascii="Times New Roman" w:eastAsia="Times New Roman" w:hAnsi="Times New Roman" w:cs="Times New Roman"/>
          <w:b/>
        </w:rPr>
        <w:t>(C)</w:t>
      </w:r>
      <w:r w:rsidRPr="00300E3E">
        <w:rPr>
          <w:rFonts w:ascii="Times New Roman" w:eastAsia="Times New Roman" w:hAnsi="Times New Roman" w:cs="Times New Roman"/>
        </w:rPr>
        <w:t xml:space="preserve"> Violin plots show number of genes (</w:t>
      </w:r>
      <w:proofErr w:type="spellStart"/>
      <w:r w:rsidRPr="00300E3E">
        <w:rPr>
          <w:rFonts w:ascii="Times New Roman" w:eastAsia="Times New Roman" w:hAnsi="Times New Roman" w:cs="Times New Roman"/>
        </w:rPr>
        <w:t>n_genes</w:t>
      </w:r>
      <w:proofErr w:type="spellEnd"/>
      <w:r w:rsidRPr="00300E3E">
        <w:rPr>
          <w:rFonts w:ascii="Times New Roman" w:eastAsia="Times New Roman" w:hAnsi="Times New Roman" w:cs="Times New Roman"/>
        </w:rPr>
        <w:t>), number of UMIs (</w:t>
      </w:r>
      <w:proofErr w:type="spellStart"/>
      <w:r w:rsidRPr="00300E3E">
        <w:rPr>
          <w:rFonts w:ascii="Times New Roman" w:eastAsia="Times New Roman" w:hAnsi="Times New Roman" w:cs="Times New Roman"/>
        </w:rPr>
        <w:t>n_counts</w:t>
      </w:r>
      <w:proofErr w:type="spellEnd"/>
      <w:r w:rsidRPr="00300E3E">
        <w:rPr>
          <w:rFonts w:ascii="Times New Roman" w:eastAsia="Times New Roman" w:hAnsi="Times New Roman" w:cs="Times New Roman"/>
        </w:rPr>
        <w:t>), percent UMIs mapping to mitochondrial (</w:t>
      </w:r>
      <w:proofErr w:type="spellStart"/>
      <w:r w:rsidRPr="00300E3E">
        <w:rPr>
          <w:rFonts w:ascii="Times New Roman" w:eastAsia="Times New Roman" w:hAnsi="Times New Roman" w:cs="Times New Roman"/>
        </w:rPr>
        <w:t>percent_mito</w:t>
      </w:r>
      <w:proofErr w:type="spellEnd"/>
      <w:r w:rsidRPr="00300E3E">
        <w:rPr>
          <w:rFonts w:ascii="Times New Roman" w:eastAsia="Times New Roman" w:hAnsi="Times New Roman" w:cs="Times New Roman"/>
        </w:rPr>
        <w:t>) and ribosomal genes (</w:t>
      </w:r>
      <w:proofErr w:type="spellStart"/>
      <w:r w:rsidRPr="00300E3E">
        <w:rPr>
          <w:rFonts w:ascii="Times New Roman" w:eastAsia="Times New Roman" w:hAnsi="Times New Roman" w:cs="Times New Roman"/>
        </w:rPr>
        <w:t>percent_ribo</w:t>
      </w:r>
      <w:proofErr w:type="spellEnd"/>
      <w:r w:rsidRPr="00300E3E">
        <w:rPr>
          <w:rFonts w:ascii="Times New Roman" w:eastAsia="Times New Roman" w:hAnsi="Times New Roman" w:cs="Times New Roman"/>
        </w:rPr>
        <w:t>) and doublet scores (</w:t>
      </w:r>
      <w:proofErr w:type="spellStart"/>
      <w:r w:rsidRPr="00300E3E">
        <w:rPr>
          <w:rFonts w:ascii="Times New Roman" w:eastAsia="Times New Roman" w:hAnsi="Times New Roman" w:cs="Times New Roman"/>
        </w:rPr>
        <w:t>scrublet_score</w:t>
      </w:r>
      <w:proofErr w:type="spellEnd"/>
      <w:r w:rsidRPr="00300E3E">
        <w:rPr>
          <w:rFonts w:ascii="Times New Roman" w:eastAsia="Times New Roman" w:hAnsi="Times New Roman" w:cs="Times New Roman"/>
        </w:rPr>
        <w:t xml:space="preserve"> / </w:t>
      </w:r>
      <w:proofErr w:type="spellStart"/>
      <w:r w:rsidRPr="00300E3E">
        <w:rPr>
          <w:rFonts w:ascii="Times New Roman" w:eastAsia="Times New Roman" w:hAnsi="Times New Roman" w:cs="Times New Roman"/>
        </w:rPr>
        <w:t>solo_score</w:t>
      </w:r>
      <w:proofErr w:type="spellEnd"/>
      <w:r w:rsidRPr="00300E3E">
        <w:rPr>
          <w:rFonts w:ascii="Times New Roman" w:eastAsia="Times New Roman" w:hAnsi="Times New Roman" w:cs="Times New Roman"/>
        </w:rPr>
        <w:t>) plotted per cell type after quality control filtering and clustering.</w:t>
      </w:r>
    </w:p>
    <w:p w:rsidR="00A56FB5" w:rsidRPr="00300E3E" w:rsidRDefault="00A56FB5" w:rsidP="0008118D">
      <w:pPr>
        <w:spacing w:line="480" w:lineRule="auto"/>
        <w:jc w:val="both"/>
        <w:rPr>
          <w:rFonts w:ascii="Times New Roman" w:eastAsia="Times New Roman" w:hAnsi="Times New Roman" w:cs="Times New Roman"/>
        </w:rPr>
      </w:pPr>
    </w:p>
    <w:p w:rsidR="00A56FB5" w:rsidRPr="00300E3E" w:rsidRDefault="00000000" w:rsidP="0008118D">
      <w:pPr>
        <w:spacing w:line="480" w:lineRule="auto"/>
        <w:jc w:val="both"/>
        <w:rPr>
          <w:rFonts w:ascii="Times New Roman" w:eastAsia="Times New Roman" w:hAnsi="Times New Roman" w:cs="Times New Roman"/>
        </w:rPr>
      </w:pPr>
      <w:r w:rsidRPr="00300E3E">
        <w:rPr>
          <w:rFonts w:ascii="Times New Roman" w:eastAsia="Times New Roman" w:hAnsi="Times New Roman" w:cs="Times New Roman"/>
          <w:noProof/>
        </w:rPr>
        <w:drawing>
          <wp:inline distT="114300" distB="114300" distL="114300" distR="114300">
            <wp:extent cx="6245457" cy="2749246"/>
            <wp:effectExtent l="0" t="0" r="0" b="0"/>
            <wp:docPr id="1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2"/>
                    <a:srcRect t="191" b="191"/>
                    <a:stretch>
                      <a:fillRect/>
                    </a:stretch>
                  </pic:blipFill>
                  <pic:spPr>
                    <a:xfrm>
                      <a:off x="0" y="0"/>
                      <a:ext cx="6245457" cy="2749246"/>
                    </a:xfrm>
                    <a:prstGeom prst="rect">
                      <a:avLst/>
                    </a:prstGeom>
                    <a:ln/>
                  </pic:spPr>
                </pic:pic>
              </a:graphicData>
            </a:graphic>
          </wp:inline>
        </w:drawing>
      </w:r>
    </w:p>
    <w:p w:rsidR="00A56FB5" w:rsidRPr="00300E3E" w:rsidRDefault="00000000" w:rsidP="0008118D">
      <w:pPr>
        <w:spacing w:line="480" w:lineRule="auto"/>
        <w:jc w:val="both"/>
        <w:rPr>
          <w:rFonts w:ascii="Times New Roman" w:eastAsia="Times New Roman" w:hAnsi="Times New Roman" w:cs="Times New Roman"/>
          <w:b/>
        </w:rPr>
      </w:pPr>
      <w:r w:rsidRPr="00300E3E">
        <w:rPr>
          <w:rFonts w:ascii="Times New Roman" w:eastAsia="Times New Roman" w:hAnsi="Times New Roman" w:cs="Times New Roman"/>
          <w:b/>
        </w:rPr>
        <w:t xml:space="preserve">Supplementary figure 4. </w:t>
      </w:r>
      <w:proofErr w:type="spellStart"/>
      <w:r w:rsidRPr="00300E3E">
        <w:rPr>
          <w:rFonts w:ascii="Times New Roman" w:eastAsia="Times New Roman" w:hAnsi="Times New Roman" w:cs="Times New Roman"/>
          <w:b/>
        </w:rPr>
        <w:t>SnRNAseq</w:t>
      </w:r>
      <w:proofErr w:type="spellEnd"/>
      <w:r w:rsidRPr="00300E3E">
        <w:rPr>
          <w:rFonts w:ascii="Times New Roman" w:eastAsia="Times New Roman" w:hAnsi="Times New Roman" w:cs="Times New Roman"/>
          <w:b/>
        </w:rPr>
        <w:t xml:space="preserve"> marker genes</w:t>
      </w:r>
    </w:p>
    <w:p w:rsidR="00A56FB5" w:rsidRPr="00300E3E" w:rsidRDefault="00000000" w:rsidP="0008118D">
      <w:pPr>
        <w:spacing w:line="480" w:lineRule="auto"/>
        <w:jc w:val="both"/>
        <w:rPr>
          <w:rFonts w:ascii="Times New Roman" w:eastAsia="Times New Roman" w:hAnsi="Times New Roman" w:cs="Times New Roman"/>
        </w:rPr>
      </w:pPr>
      <w:r w:rsidRPr="00300E3E">
        <w:rPr>
          <w:rFonts w:ascii="Times New Roman" w:eastAsia="Times New Roman" w:hAnsi="Times New Roman" w:cs="Times New Roman"/>
          <w:b/>
        </w:rPr>
        <w:t xml:space="preserve">(A) </w:t>
      </w:r>
      <w:proofErr w:type="spellStart"/>
      <w:r w:rsidRPr="00300E3E">
        <w:rPr>
          <w:rFonts w:ascii="Times New Roman" w:eastAsia="Times New Roman" w:hAnsi="Times New Roman" w:cs="Times New Roman"/>
        </w:rPr>
        <w:t>Dotplot</w:t>
      </w:r>
      <w:proofErr w:type="spellEnd"/>
      <w:r w:rsidRPr="00300E3E">
        <w:rPr>
          <w:rFonts w:ascii="Times New Roman" w:eastAsia="Times New Roman" w:hAnsi="Times New Roman" w:cs="Times New Roman"/>
        </w:rPr>
        <w:t xml:space="preserve"> showing selected marker genes of each cell type.</w:t>
      </w:r>
      <w:r w:rsidRPr="00300E3E">
        <w:rPr>
          <w:rFonts w:ascii="Times New Roman" w:eastAsia="Times New Roman" w:hAnsi="Times New Roman" w:cs="Times New Roman"/>
          <w:b/>
        </w:rPr>
        <w:t xml:space="preserve"> (B)</w:t>
      </w:r>
      <w:r w:rsidRPr="00300E3E">
        <w:rPr>
          <w:rFonts w:ascii="Times New Roman" w:eastAsia="Times New Roman" w:hAnsi="Times New Roman" w:cs="Times New Roman"/>
        </w:rPr>
        <w:t xml:space="preserve"> Dot plot showing selected marker genes for each cardiomyocyte cell state. Dot size represents fraction (%) of expressing cells and colour represents mean expression level.</w:t>
      </w:r>
      <w:r w:rsidRPr="00300E3E">
        <w:br w:type="page"/>
      </w:r>
    </w:p>
    <w:p w:rsidR="00A56FB5" w:rsidRPr="00300E3E" w:rsidRDefault="00000000" w:rsidP="0008118D">
      <w:pPr>
        <w:spacing w:line="480" w:lineRule="auto"/>
        <w:rPr>
          <w:rFonts w:ascii="Times New Roman" w:eastAsia="Times New Roman" w:hAnsi="Times New Roman" w:cs="Times New Roman"/>
          <w:sz w:val="24"/>
          <w:szCs w:val="24"/>
        </w:rPr>
      </w:pPr>
      <w:r w:rsidRPr="00300E3E">
        <w:rPr>
          <w:rFonts w:ascii="Times New Roman" w:eastAsia="Times New Roman" w:hAnsi="Times New Roman" w:cs="Times New Roman"/>
          <w:noProof/>
          <w:sz w:val="24"/>
          <w:szCs w:val="24"/>
        </w:rPr>
        <w:lastRenderedPageBreak/>
        <w:drawing>
          <wp:inline distT="0" distB="0" distL="0" distR="0">
            <wp:extent cx="5731200" cy="4419600"/>
            <wp:effectExtent l="0" t="0" r="0" b="0"/>
            <wp:docPr id="14" name="image7.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A screenshot of a computer&#10;&#10;Description automatically generated"/>
                    <pic:cNvPicPr preferRelativeResize="0"/>
                  </pic:nvPicPr>
                  <pic:blipFill>
                    <a:blip r:embed="rId23"/>
                    <a:srcRect/>
                    <a:stretch>
                      <a:fillRect/>
                    </a:stretch>
                  </pic:blipFill>
                  <pic:spPr>
                    <a:xfrm>
                      <a:off x="0" y="0"/>
                      <a:ext cx="5731200" cy="4419600"/>
                    </a:xfrm>
                    <a:prstGeom prst="rect">
                      <a:avLst/>
                    </a:prstGeom>
                    <a:ln/>
                  </pic:spPr>
                </pic:pic>
              </a:graphicData>
            </a:graphic>
          </wp:inline>
        </w:drawing>
      </w:r>
    </w:p>
    <w:p w:rsidR="00A56FB5" w:rsidRPr="00300E3E" w:rsidRDefault="00000000" w:rsidP="0008118D">
      <w:pPr>
        <w:spacing w:line="480" w:lineRule="auto"/>
        <w:jc w:val="both"/>
        <w:rPr>
          <w:rFonts w:ascii="Times New Roman" w:eastAsia="Times New Roman" w:hAnsi="Times New Roman" w:cs="Times New Roman"/>
          <w:b/>
        </w:rPr>
      </w:pPr>
      <w:r w:rsidRPr="00300E3E">
        <w:rPr>
          <w:rFonts w:ascii="Times New Roman" w:eastAsia="Times New Roman" w:hAnsi="Times New Roman" w:cs="Times New Roman"/>
          <w:b/>
        </w:rPr>
        <w:t xml:space="preserve">Supplementary Figure 5. Ribosome KEGG analysis. </w:t>
      </w:r>
    </w:p>
    <w:p w:rsidR="00A56FB5" w:rsidRPr="00300E3E" w:rsidRDefault="00000000" w:rsidP="0008118D">
      <w:pPr>
        <w:spacing w:line="480" w:lineRule="auto"/>
        <w:jc w:val="both"/>
        <w:rPr>
          <w:rFonts w:ascii="Times New Roman" w:eastAsia="Times New Roman" w:hAnsi="Times New Roman" w:cs="Times New Roman"/>
          <w:i/>
        </w:rPr>
      </w:pPr>
      <w:r w:rsidRPr="00300E3E">
        <w:rPr>
          <w:rFonts w:ascii="Times New Roman" w:eastAsia="Times New Roman" w:hAnsi="Times New Roman" w:cs="Times New Roman"/>
        </w:rPr>
        <w:t xml:space="preserve">Illustration of </w:t>
      </w:r>
      <w:proofErr w:type="gramStart"/>
      <w:r w:rsidRPr="00300E3E">
        <w:rPr>
          <w:rFonts w:ascii="Times New Roman" w:eastAsia="Times New Roman" w:hAnsi="Times New Roman" w:cs="Times New Roman"/>
        </w:rPr>
        <w:t>the  most</w:t>
      </w:r>
      <w:proofErr w:type="gramEnd"/>
      <w:r w:rsidRPr="00300E3E">
        <w:rPr>
          <w:rFonts w:ascii="Times New Roman" w:eastAsia="Times New Roman" w:hAnsi="Times New Roman" w:cs="Times New Roman"/>
        </w:rPr>
        <w:t xml:space="preserve"> significantly enriched KEGG pathway from </w:t>
      </w:r>
      <w:proofErr w:type="spellStart"/>
      <w:r w:rsidRPr="00300E3E">
        <w:rPr>
          <w:rFonts w:ascii="Times New Roman" w:eastAsia="Times New Roman" w:hAnsi="Times New Roman" w:cs="Times New Roman"/>
        </w:rPr>
        <w:t>snRNAseq</w:t>
      </w:r>
      <w:proofErr w:type="spellEnd"/>
      <w:r w:rsidRPr="00300E3E">
        <w:rPr>
          <w:rFonts w:ascii="Times New Roman" w:eastAsia="Times New Roman" w:hAnsi="Times New Roman" w:cs="Times New Roman"/>
        </w:rPr>
        <w:t xml:space="preserve"> analysis following administration of rmIL11. Significantly differentially expressed genes in cardiomyocytes from </w:t>
      </w:r>
      <w:proofErr w:type="spellStart"/>
      <w:r w:rsidRPr="00300E3E">
        <w:rPr>
          <w:rFonts w:ascii="Times New Roman" w:eastAsia="Times New Roman" w:hAnsi="Times New Roman" w:cs="Times New Roman"/>
        </w:rPr>
        <w:t>snRNAseq</w:t>
      </w:r>
      <w:proofErr w:type="spellEnd"/>
      <w:r w:rsidRPr="00300E3E">
        <w:rPr>
          <w:rFonts w:ascii="Times New Roman" w:eastAsia="Times New Roman" w:hAnsi="Times New Roman" w:cs="Times New Roman"/>
        </w:rPr>
        <w:t xml:space="preserve"> analysis are highlighted in red.</w:t>
      </w:r>
    </w:p>
    <w:p w:rsidR="00A56FB5" w:rsidRPr="00300E3E" w:rsidRDefault="00000000" w:rsidP="0008118D">
      <w:pPr>
        <w:spacing w:line="480" w:lineRule="auto"/>
        <w:jc w:val="both"/>
        <w:rPr>
          <w:rFonts w:ascii="Times New Roman" w:eastAsia="Times New Roman" w:hAnsi="Times New Roman" w:cs="Times New Roman"/>
          <w:i/>
        </w:rPr>
      </w:pPr>
      <w:r w:rsidRPr="00300E3E">
        <w:br w:type="page"/>
      </w:r>
    </w:p>
    <w:p w:rsidR="00A56FB5" w:rsidRPr="00300E3E" w:rsidRDefault="00000000" w:rsidP="0008118D">
      <w:pPr>
        <w:spacing w:line="480" w:lineRule="auto"/>
        <w:jc w:val="both"/>
        <w:rPr>
          <w:rFonts w:ascii="Times New Roman" w:eastAsia="Times New Roman" w:hAnsi="Times New Roman" w:cs="Times New Roman"/>
        </w:rPr>
      </w:pPr>
      <w:r w:rsidRPr="00300E3E">
        <w:rPr>
          <w:rFonts w:ascii="Times New Roman" w:eastAsia="Times New Roman" w:hAnsi="Times New Roman" w:cs="Times New Roman"/>
          <w:noProof/>
        </w:rPr>
        <w:lastRenderedPageBreak/>
        <w:drawing>
          <wp:inline distT="114300" distB="114300" distL="114300" distR="114300">
            <wp:extent cx="5731200" cy="6502400"/>
            <wp:effectExtent l="0" t="0" r="0" b="0"/>
            <wp:docPr id="1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5731200" cy="6502400"/>
                    </a:xfrm>
                    <a:prstGeom prst="rect">
                      <a:avLst/>
                    </a:prstGeom>
                    <a:ln/>
                  </pic:spPr>
                </pic:pic>
              </a:graphicData>
            </a:graphic>
          </wp:inline>
        </w:drawing>
      </w:r>
    </w:p>
    <w:p w:rsidR="00A56FB5" w:rsidRPr="00300E3E" w:rsidRDefault="00000000" w:rsidP="0008118D">
      <w:pPr>
        <w:spacing w:line="480" w:lineRule="auto"/>
        <w:jc w:val="both"/>
        <w:rPr>
          <w:rFonts w:ascii="Times New Roman" w:eastAsia="Times New Roman" w:hAnsi="Times New Roman" w:cs="Times New Roman"/>
          <w:b/>
        </w:rPr>
      </w:pPr>
      <w:r w:rsidRPr="00300E3E">
        <w:rPr>
          <w:rFonts w:ascii="Times New Roman" w:eastAsia="Times New Roman" w:hAnsi="Times New Roman" w:cs="Times New Roman"/>
          <w:b/>
        </w:rPr>
        <w:t xml:space="preserve">Supplementary Figure 6. Expression of </w:t>
      </w:r>
      <w:proofErr w:type="spellStart"/>
      <w:r w:rsidRPr="001B18A5">
        <w:rPr>
          <w:rFonts w:ascii="Times New Roman" w:eastAsia="Times New Roman" w:hAnsi="Times New Roman" w:cs="Times New Roman"/>
          <w:b/>
          <w:i/>
          <w:iCs/>
        </w:rPr>
        <w:t>Rrad</w:t>
      </w:r>
      <w:proofErr w:type="spellEnd"/>
      <w:r w:rsidRPr="00300E3E">
        <w:rPr>
          <w:rFonts w:ascii="Times New Roman" w:eastAsia="Times New Roman" w:hAnsi="Times New Roman" w:cs="Times New Roman"/>
          <w:b/>
        </w:rPr>
        <w:t xml:space="preserve">, </w:t>
      </w:r>
      <w:r w:rsidRPr="001B18A5">
        <w:rPr>
          <w:rFonts w:ascii="Times New Roman" w:eastAsia="Times New Roman" w:hAnsi="Times New Roman" w:cs="Times New Roman"/>
          <w:b/>
          <w:i/>
          <w:iCs/>
        </w:rPr>
        <w:t>S100a8</w:t>
      </w:r>
      <w:r w:rsidRPr="00300E3E">
        <w:rPr>
          <w:rFonts w:ascii="Times New Roman" w:eastAsia="Times New Roman" w:hAnsi="Times New Roman" w:cs="Times New Roman"/>
          <w:b/>
        </w:rPr>
        <w:t xml:space="preserve"> and </w:t>
      </w:r>
      <w:r w:rsidR="0058176D" w:rsidRPr="001B18A5">
        <w:rPr>
          <w:rFonts w:ascii="Times New Roman" w:eastAsia="Times New Roman" w:hAnsi="Times New Roman" w:cs="Times New Roman"/>
          <w:b/>
          <w:i/>
          <w:iCs/>
        </w:rPr>
        <w:t>S</w:t>
      </w:r>
      <w:r w:rsidRPr="001B18A5">
        <w:rPr>
          <w:rFonts w:ascii="Times New Roman" w:eastAsia="Times New Roman" w:hAnsi="Times New Roman" w:cs="Times New Roman"/>
          <w:b/>
          <w:i/>
          <w:iCs/>
        </w:rPr>
        <w:t>100a9</w:t>
      </w:r>
      <w:r w:rsidRPr="00300E3E">
        <w:rPr>
          <w:rFonts w:ascii="Times New Roman" w:eastAsia="Times New Roman" w:hAnsi="Times New Roman" w:cs="Times New Roman"/>
          <w:b/>
        </w:rPr>
        <w:t xml:space="preserve">. </w:t>
      </w:r>
    </w:p>
    <w:p w:rsidR="00A56FB5" w:rsidRPr="001B18A5" w:rsidRDefault="00000000" w:rsidP="001B18A5">
      <w:pPr>
        <w:spacing w:line="480" w:lineRule="auto"/>
        <w:jc w:val="both"/>
        <w:rPr>
          <w:rFonts w:ascii="Times New Roman" w:eastAsia="Times New Roman" w:hAnsi="Times New Roman" w:cs="Times New Roman"/>
        </w:rPr>
      </w:pPr>
      <w:r w:rsidRPr="00300E3E">
        <w:rPr>
          <w:rFonts w:ascii="Times New Roman" w:eastAsia="Times New Roman" w:hAnsi="Times New Roman" w:cs="Times New Roman"/>
          <w:b/>
        </w:rPr>
        <w:t xml:space="preserve">(A) </w:t>
      </w:r>
      <w:r w:rsidRPr="00300E3E">
        <w:rPr>
          <w:rFonts w:ascii="Times New Roman" w:eastAsia="Times New Roman" w:hAnsi="Times New Roman" w:cs="Times New Roman"/>
        </w:rPr>
        <w:t xml:space="preserve">Raw counts per million of </w:t>
      </w:r>
      <w:proofErr w:type="spellStart"/>
      <w:r w:rsidRPr="00300E3E">
        <w:rPr>
          <w:rFonts w:ascii="Times New Roman" w:eastAsia="Times New Roman" w:hAnsi="Times New Roman" w:cs="Times New Roman"/>
          <w:i/>
        </w:rPr>
        <w:t>Rrad</w:t>
      </w:r>
      <w:proofErr w:type="spellEnd"/>
      <w:r w:rsidRPr="00300E3E">
        <w:rPr>
          <w:rFonts w:ascii="Times New Roman" w:eastAsia="Times New Roman" w:hAnsi="Times New Roman" w:cs="Times New Roman"/>
        </w:rPr>
        <w:t xml:space="preserve"> from whole ventricle </w:t>
      </w:r>
      <w:proofErr w:type="spellStart"/>
      <w:r w:rsidRPr="00300E3E">
        <w:rPr>
          <w:rFonts w:ascii="Times New Roman" w:eastAsia="Times New Roman" w:hAnsi="Times New Roman" w:cs="Times New Roman"/>
        </w:rPr>
        <w:t>RNAseq</w:t>
      </w:r>
      <w:proofErr w:type="spellEnd"/>
      <w:r w:rsidRPr="00300E3E">
        <w:rPr>
          <w:rFonts w:ascii="Times New Roman" w:eastAsia="Times New Roman" w:hAnsi="Times New Roman" w:cs="Times New Roman"/>
        </w:rPr>
        <w:t xml:space="preserve"> data at baseline and 1, 3 and 6 hours after IP injection of rmIL11. </w:t>
      </w:r>
      <w:r w:rsidRPr="00300E3E">
        <w:rPr>
          <w:rFonts w:ascii="Times New Roman" w:eastAsia="Times New Roman" w:hAnsi="Times New Roman" w:cs="Times New Roman"/>
          <w:b/>
        </w:rPr>
        <w:t>(B)</w:t>
      </w:r>
      <w:r w:rsidRPr="00300E3E">
        <w:rPr>
          <w:rFonts w:ascii="Times New Roman" w:eastAsia="Times New Roman" w:hAnsi="Times New Roman" w:cs="Times New Roman"/>
        </w:rPr>
        <w:t xml:space="preserve"> QPCR of myocardial </w:t>
      </w:r>
      <w:proofErr w:type="spellStart"/>
      <w:r w:rsidRPr="00300E3E">
        <w:rPr>
          <w:rFonts w:ascii="Times New Roman" w:eastAsia="Times New Roman" w:hAnsi="Times New Roman" w:cs="Times New Roman"/>
          <w:i/>
        </w:rPr>
        <w:t>Rrad</w:t>
      </w:r>
      <w:proofErr w:type="spellEnd"/>
      <w:r w:rsidRPr="00300E3E">
        <w:rPr>
          <w:rFonts w:ascii="Times New Roman" w:eastAsia="Times New Roman" w:hAnsi="Times New Roman" w:cs="Times New Roman"/>
          <w:i/>
        </w:rPr>
        <w:t xml:space="preserve"> </w:t>
      </w:r>
      <w:r w:rsidRPr="00300E3E">
        <w:rPr>
          <w:rFonts w:ascii="Times New Roman" w:eastAsia="Times New Roman" w:hAnsi="Times New Roman" w:cs="Times New Roman"/>
        </w:rPr>
        <w:t xml:space="preserve">expression in WT and vCMKO mice 2 hours after injection of IL11 compared to saline injected wildtype controls. </w:t>
      </w:r>
      <w:r w:rsidRPr="00300E3E">
        <w:rPr>
          <w:rFonts w:ascii="Times New Roman" w:eastAsia="Times New Roman" w:hAnsi="Times New Roman" w:cs="Times New Roman"/>
          <w:b/>
        </w:rPr>
        <w:t>(C)</w:t>
      </w:r>
      <w:r w:rsidRPr="00300E3E">
        <w:rPr>
          <w:rFonts w:ascii="Times New Roman" w:eastAsia="Times New Roman" w:hAnsi="Times New Roman" w:cs="Times New Roman"/>
          <w:i/>
        </w:rPr>
        <w:t xml:space="preserve"> </w:t>
      </w:r>
      <w:r w:rsidRPr="00300E3E">
        <w:rPr>
          <w:rFonts w:ascii="Times New Roman" w:eastAsia="Times New Roman" w:hAnsi="Times New Roman" w:cs="Times New Roman"/>
        </w:rPr>
        <w:t xml:space="preserve">QPCR of myocardial </w:t>
      </w:r>
      <w:proofErr w:type="spellStart"/>
      <w:r w:rsidRPr="00300E3E">
        <w:rPr>
          <w:rFonts w:ascii="Times New Roman" w:eastAsia="Times New Roman" w:hAnsi="Times New Roman" w:cs="Times New Roman"/>
          <w:i/>
        </w:rPr>
        <w:t>Rrad</w:t>
      </w:r>
      <w:proofErr w:type="spellEnd"/>
      <w:r w:rsidRPr="00300E3E">
        <w:rPr>
          <w:rFonts w:ascii="Times New Roman" w:eastAsia="Times New Roman" w:hAnsi="Times New Roman" w:cs="Times New Roman"/>
        </w:rPr>
        <w:t xml:space="preserve"> expression in male and female WT and m6CMKO (Exp) mice 2 hours after rmIL11 injection and compared to wild type males treated with saline. </w:t>
      </w:r>
      <w:r w:rsidRPr="00300E3E">
        <w:rPr>
          <w:rFonts w:ascii="Times New Roman" w:eastAsia="Times New Roman" w:hAnsi="Times New Roman" w:cs="Times New Roman"/>
          <w:b/>
        </w:rPr>
        <w:t>(D)</w:t>
      </w:r>
      <w:r w:rsidRPr="00300E3E">
        <w:rPr>
          <w:rFonts w:ascii="Times New Roman" w:eastAsia="Times New Roman" w:hAnsi="Times New Roman" w:cs="Times New Roman"/>
        </w:rPr>
        <w:t xml:space="preserve"> QPCR of myocardial </w:t>
      </w:r>
      <w:proofErr w:type="spellStart"/>
      <w:r w:rsidRPr="00300E3E">
        <w:rPr>
          <w:rFonts w:ascii="Times New Roman" w:eastAsia="Times New Roman" w:hAnsi="Times New Roman" w:cs="Times New Roman"/>
          <w:i/>
        </w:rPr>
        <w:t>Rrad</w:t>
      </w:r>
      <w:proofErr w:type="spellEnd"/>
      <w:r w:rsidRPr="00300E3E">
        <w:rPr>
          <w:rFonts w:ascii="Times New Roman" w:eastAsia="Times New Roman" w:hAnsi="Times New Roman" w:cs="Times New Roman"/>
          <w:i/>
        </w:rPr>
        <w:t xml:space="preserve"> </w:t>
      </w:r>
      <w:r w:rsidRPr="00300E3E">
        <w:rPr>
          <w:rFonts w:ascii="Times New Roman" w:eastAsia="Times New Roman" w:hAnsi="Times New Roman" w:cs="Times New Roman"/>
        </w:rPr>
        <w:t>expression two hours after treatment with combination of vehicle (Veh) or ruxolitinib (</w:t>
      </w:r>
      <w:proofErr w:type="spellStart"/>
      <w:r w:rsidRPr="00300E3E">
        <w:rPr>
          <w:rFonts w:ascii="Times New Roman" w:eastAsia="Times New Roman" w:hAnsi="Times New Roman" w:cs="Times New Roman"/>
        </w:rPr>
        <w:t>Ruxo</w:t>
      </w:r>
      <w:proofErr w:type="spellEnd"/>
      <w:r w:rsidRPr="00300E3E">
        <w:rPr>
          <w:rFonts w:ascii="Times New Roman" w:eastAsia="Times New Roman" w:hAnsi="Times New Roman" w:cs="Times New Roman"/>
        </w:rPr>
        <w:t xml:space="preserve">) and saline or rmIL11. </w:t>
      </w:r>
      <w:r w:rsidRPr="00300E3E">
        <w:rPr>
          <w:rFonts w:ascii="Times New Roman" w:eastAsia="Times New Roman" w:hAnsi="Times New Roman" w:cs="Times New Roman"/>
          <w:b/>
        </w:rPr>
        <w:t>(E)</w:t>
      </w:r>
      <w:r w:rsidRPr="00300E3E">
        <w:rPr>
          <w:rFonts w:ascii="Times New Roman" w:eastAsia="Times New Roman" w:hAnsi="Times New Roman" w:cs="Times New Roman"/>
        </w:rPr>
        <w:t xml:space="preserve"> QPCR </w:t>
      </w:r>
      <w:r w:rsidRPr="00300E3E">
        <w:rPr>
          <w:rFonts w:ascii="Times New Roman" w:eastAsia="Times New Roman" w:hAnsi="Times New Roman" w:cs="Times New Roman"/>
        </w:rPr>
        <w:lastRenderedPageBreak/>
        <w:t xml:space="preserve">of myocardial </w:t>
      </w:r>
      <w:proofErr w:type="spellStart"/>
      <w:r w:rsidRPr="00300E3E">
        <w:rPr>
          <w:rFonts w:ascii="Times New Roman" w:eastAsia="Times New Roman" w:hAnsi="Times New Roman" w:cs="Times New Roman"/>
          <w:i/>
        </w:rPr>
        <w:t>Rrad</w:t>
      </w:r>
      <w:proofErr w:type="spellEnd"/>
      <w:r w:rsidRPr="00300E3E">
        <w:rPr>
          <w:rFonts w:ascii="Times New Roman" w:eastAsia="Times New Roman" w:hAnsi="Times New Roman" w:cs="Times New Roman"/>
          <w:i/>
        </w:rPr>
        <w:t xml:space="preserve"> </w:t>
      </w:r>
      <w:r w:rsidRPr="00300E3E">
        <w:rPr>
          <w:rFonts w:ascii="Times New Roman" w:eastAsia="Times New Roman" w:hAnsi="Times New Roman" w:cs="Times New Roman"/>
        </w:rPr>
        <w:t>expression 2 hours after treatment with combination of vehicle (Veh) or tofacitinib (</w:t>
      </w:r>
      <w:proofErr w:type="spellStart"/>
      <w:r w:rsidRPr="00300E3E">
        <w:rPr>
          <w:rFonts w:ascii="Times New Roman" w:eastAsia="Times New Roman" w:hAnsi="Times New Roman" w:cs="Times New Roman"/>
        </w:rPr>
        <w:t>Tofa</w:t>
      </w:r>
      <w:proofErr w:type="spellEnd"/>
      <w:r w:rsidRPr="00300E3E">
        <w:rPr>
          <w:rFonts w:ascii="Times New Roman" w:eastAsia="Times New Roman" w:hAnsi="Times New Roman" w:cs="Times New Roman"/>
        </w:rPr>
        <w:t xml:space="preserve">) and saline or rmIL11. </w:t>
      </w:r>
      <w:r w:rsidRPr="00300E3E">
        <w:rPr>
          <w:rFonts w:ascii="Times New Roman" w:eastAsia="Times New Roman" w:hAnsi="Times New Roman" w:cs="Times New Roman"/>
          <w:b/>
        </w:rPr>
        <w:t>(F)</w:t>
      </w:r>
      <w:r w:rsidRPr="00300E3E">
        <w:rPr>
          <w:rFonts w:ascii="Times New Roman" w:eastAsia="Times New Roman" w:hAnsi="Times New Roman" w:cs="Times New Roman"/>
        </w:rPr>
        <w:t xml:space="preserve"> Raw counts per million of </w:t>
      </w:r>
      <w:r w:rsidRPr="00300E3E">
        <w:rPr>
          <w:rFonts w:ascii="Times New Roman" w:eastAsia="Times New Roman" w:hAnsi="Times New Roman" w:cs="Times New Roman"/>
          <w:i/>
        </w:rPr>
        <w:t>S100a8</w:t>
      </w:r>
      <w:r w:rsidRPr="00300E3E">
        <w:rPr>
          <w:rFonts w:ascii="Times New Roman" w:eastAsia="Times New Roman" w:hAnsi="Times New Roman" w:cs="Times New Roman"/>
        </w:rPr>
        <w:t xml:space="preserve"> from whole ventricle </w:t>
      </w:r>
      <w:proofErr w:type="spellStart"/>
      <w:r w:rsidRPr="00300E3E">
        <w:rPr>
          <w:rFonts w:ascii="Times New Roman" w:eastAsia="Times New Roman" w:hAnsi="Times New Roman" w:cs="Times New Roman"/>
        </w:rPr>
        <w:t>RNAseq</w:t>
      </w:r>
      <w:proofErr w:type="spellEnd"/>
      <w:r w:rsidRPr="00300E3E">
        <w:rPr>
          <w:rFonts w:ascii="Times New Roman" w:eastAsia="Times New Roman" w:hAnsi="Times New Roman" w:cs="Times New Roman"/>
        </w:rPr>
        <w:t xml:space="preserve"> data at baseline and 1, 3 and 6 hours after IP injection of rmIL11. </w:t>
      </w:r>
      <w:r w:rsidRPr="00300E3E">
        <w:rPr>
          <w:rFonts w:ascii="Times New Roman" w:eastAsia="Times New Roman" w:hAnsi="Times New Roman" w:cs="Times New Roman"/>
          <w:b/>
        </w:rPr>
        <w:t>(G)</w:t>
      </w:r>
      <w:r w:rsidRPr="00300E3E">
        <w:rPr>
          <w:rFonts w:ascii="Times New Roman" w:eastAsia="Times New Roman" w:hAnsi="Times New Roman" w:cs="Times New Roman"/>
        </w:rPr>
        <w:t xml:space="preserve"> Raw counts per million of </w:t>
      </w:r>
      <w:r w:rsidRPr="00300E3E">
        <w:rPr>
          <w:rFonts w:ascii="Times New Roman" w:eastAsia="Times New Roman" w:hAnsi="Times New Roman" w:cs="Times New Roman"/>
          <w:i/>
        </w:rPr>
        <w:t>S100a9</w:t>
      </w:r>
      <w:r w:rsidRPr="00300E3E">
        <w:rPr>
          <w:rFonts w:ascii="Times New Roman" w:eastAsia="Times New Roman" w:hAnsi="Times New Roman" w:cs="Times New Roman"/>
        </w:rPr>
        <w:t xml:space="preserve"> from whole ventricle </w:t>
      </w:r>
      <w:proofErr w:type="spellStart"/>
      <w:r w:rsidRPr="00300E3E">
        <w:rPr>
          <w:rFonts w:ascii="Times New Roman" w:eastAsia="Times New Roman" w:hAnsi="Times New Roman" w:cs="Times New Roman"/>
        </w:rPr>
        <w:t>RNAseq</w:t>
      </w:r>
      <w:proofErr w:type="spellEnd"/>
      <w:r w:rsidRPr="00300E3E">
        <w:rPr>
          <w:rFonts w:ascii="Times New Roman" w:eastAsia="Times New Roman" w:hAnsi="Times New Roman" w:cs="Times New Roman"/>
        </w:rPr>
        <w:t xml:space="preserve"> data at baseline and 1, 3 and 6 hours after IP injection of rmIL11. </w:t>
      </w:r>
      <w:bookmarkStart w:id="3" w:name="_wsamwqrijgpc" w:colFirst="0" w:colLast="0"/>
      <w:bookmarkStart w:id="4" w:name="_dev2pt4kb6gg" w:colFirst="0" w:colLast="0"/>
      <w:bookmarkStart w:id="5" w:name="_fugh6923sikt" w:colFirst="0" w:colLast="0"/>
      <w:bookmarkEnd w:id="3"/>
      <w:bookmarkEnd w:id="4"/>
      <w:bookmarkEnd w:id="5"/>
    </w:p>
    <w:sectPr w:rsidR="00A56FB5" w:rsidRPr="001B18A5" w:rsidSect="0008118D">
      <w:pgSz w:w="11909" w:h="16834"/>
      <w:pgMar w:top="1440" w:right="1440" w:bottom="1440" w:left="1440" w:header="720" w:footer="720" w:gutter="0"/>
      <w:lnNumType w:countBy="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C80158" w:rsidRDefault="00C80158">
      <w:pPr>
        <w:spacing w:line="240" w:lineRule="auto"/>
      </w:pPr>
      <w:r>
        <w:separator/>
      </w:r>
    </w:p>
  </w:endnote>
  <w:endnote w:type="continuationSeparator" w:id="0">
    <w:p w:rsidR="00C80158" w:rsidRDefault="00C8015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DA003DAD-267F-7947-9C10-DA0AF4ED7803}"/>
    <w:embedBold r:id="rId2" w:fontKey="{5D465EE4-5256-7047-AFB5-93D5F59A37B9}"/>
    <w:embedItalic r:id="rId3" w:fontKey="{8A3B54E5-CDA0-2148-BD98-64CAD2C5A637}"/>
    <w:embedBoldItalic r:id="rId4" w:fontKey="{401F9BAA-F33F-1A4F-AE2C-700F2397B93B}"/>
  </w:font>
  <w:font w:name="Arial">
    <w:panose1 w:val="020B0604020202020204"/>
    <w:charset w:val="00"/>
    <w:family w:val="swiss"/>
    <w:pitch w:val="variable"/>
    <w:sig w:usb0="E0002AFF" w:usb1="C0007843" w:usb2="00000009" w:usb3="00000000" w:csb0="000001FF" w:csb1="00000000"/>
    <w:embedRegular r:id="rId5" w:fontKey="{8CE570BB-EA90-F845-9BD6-B66A9F4CC415}"/>
    <w:embedBold r:id="rId6" w:fontKey="{EF7FD6E2-18C9-A144-BFD6-5BEE8F5AB966}"/>
    <w:embedItalic r:id="rId7" w:fontKey="{71A3B42B-DE75-1247-B5B7-B1330CEAC45E}"/>
  </w:font>
  <w:font w:name="Cardo">
    <w:altName w:val="Calibri"/>
    <w:panose1 w:val="020B0604020202020204"/>
    <w:charset w:val="00"/>
    <w:family w:val="auto"/>
    <w:pitch w:val="default"/>
  </w:font>
  <w:font w:name="Times">
    <w:altName w:val="Times New Roman"/>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embedRegular r:id="rId11" w:fontKey="{766A557F-25F0-B44B-B7CF-EC2FDB70D1B7}"/>
  </w:font>
  <w:font w:name="Cambria">
    <w:panose1 w:val="02040503050406030204"/>
    <w:charset w:val="00"/>
    <w:family w:val="roman"/>
    <w:pitch w:val="variable"/>
    <w:sig w:usb0="E00006FF" w:usb1="420024FF" w:usb2="02000000" w:usb3="00000000" w:csb0="0000019F" w:csb1="00000000"/>
    <w:embedRegular r:id="rId12" w:fontKey="{82EB300C-6477-1148-8A27-9088FE20A8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829260285"/>
      <w:docPartObj>
        <w:docPartGallery w:val="Page Numbers (Bottom of Page)"/>
        <w:docPartUnique/>
      </w:docPartObj>
    </w:sdtPr>
    <w:sdtContent>
      <w:p w:rsidR="00CA21ED" w:rsidRDefault="00CA21ED" w:rsidP="006D4F9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CA21ED" w:rsidRDefault="00CA21ED" w:rsidP="00CA21E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864947796"/>
      <w:docPartObj>
        <w:docPartGallery w:val="Page Numbers (Bottom of Page)"/>
        <w:docPartUnique/>
      </w:docPartObj>
    </w:sdtPr>
    <w:sdtContent>
      <w:p w:rsidR="00CA21ED" w:rsidRDefault="00CA21ED" w:rsidP="006D4F9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rsidR="00CA21ED" w:rsidRDefault="00CA21ED" w:rsidP="00CA21E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C80158" w:rsidRDefault="00C80158">
      <w:pPr>
        <w:spacing w:line="240" w:lineRule="auto"/>
      </w:pPr>
      <w:r>
        <w:separator/>
      </w:r>
    </w:p>
  </w:footnote>
  <w:footnote w:type="continuationSeparator" w:id="0">
    <w:p w:rsidR="00C80158" w:rsidRDefault="00C8015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A56FB5" w:rsidRPr="00E51DBD" w:rsidRDefault="00E51DBD" w:rsidP="00E51DBD">
    <w:pPr>
      <w:pStyle w:val="Header"/>
      <w:jc w:val="center"/>
      <w:rPr>
        <w:b/>
        <w:bCs/>
      </w:rPr>
    </w:pPr>
    <w:r w:rsidRPr="0006227B">
      <w:rPr>
        <w:b/>
        <w:bCs/>
      </w:rPr>
      <w:t>CVR-2024-0932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FD271AC"/>
    <w:multiLevelType w:val="hybridMultilevel"/>
    <w:tmpl w:val="6C183EF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5308472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paperpile-clusterType" w:val="normal"/>
    <w:docVar w:name="paperpile-doc-id" w:val="C935J383F673C396"/>
    <w:docVar w:name="paperpile-doc-name" w:val="Manuscript_IL11 effects on cardiomyocytes_v2.docx"/>
    <w:docVar w:name="paperpile-includeDoi" w:val="false"/>
    <w:docVar w:name="paperpile-styleFile" w:val="european-society-of-cardiology.csl"/>
    <w:docVar w:name="paperpile-styleId" w:val="european-heart-journal"/>
    <w:docVar w:name="paperpile-styleLabel" w:val="European Heart Journal"/>
    <w:docVar w:name="paperpile-styleLocale" w:val="default"/>
  </w:docVars>
  <w:rsids>
    <w:rsidRoot w:val="00A56FB5"/>
    <w:rsid w:val="000701DA"/>
    <w:rsid w:val="0008118D"/>
    <w:rsid w:val="00087BE0"/>
    <w:rsid w:val="000B78DA"/>
    <w:rsid w:val="000C6349"/>
    <w:rsid w:val="000D11DC"/>
    <w:rsid w:val="000D690F"/>
    <w:rsid w:val="00114F2D"/>
    <w:rsid w:val="00141116"/>
    <w:rsid w:val="001866A6"/>
    <w:rsid w:val="001A159C"/>
    <w:rsid w:val="001B18A5"/>
    <w:rsid w:val="00213B4D"/>
    <w:rsid w:val="002601D9"/>
    <w:rsid w:val="002A22F5"/>
    <w:rsid w:val="002C7CDA"/>
    <w:rsid w:val="002E1EAF"/>
    <w:rsid w:val="002F04F9"/>
    <w:rsid w:val="00300E3E"/>
    <w:rsid w:val="00334FB5"/>
    <w:rsid w:val="00362EAC"/>
    <w:rsid w:val="003E7235"/>
    <w:rsid w:val="00416635"/>
    <w:rsid w:val="004B4820"/>
    <w:rsid w:val="005057BA"/>
    <w:rsid w:val="0051097D"/>
    <w:rsid w:val="0058176D"/>
    <w:rsid w:val="00585B6A"/>
    <w:rsid w:val="005C6D62"/>
    <w:rsid w:val="005F31D8"/>
    <w:rsid w:val="006203BA"/>
    <w:rsid w:val="00655E3C"/>
    <w:rsid w:val="00683E95"/>
    <w:rsid w:val="006C6D40"/>
    <w:rsid w:val="006F25F3"/>
    <w:rsid w:val="00702469"/>
    <w:rsid w:val="00785E12"/>
    <w:rsid w:val="007C392A"/>
    <w:rsid w:val="007C6825"/>
    <w:rsid w:val="007E7B34"/>
    <w:rsid w:val="008305E6"/>
    <w:rsid w:val="008463A2"/>
    <w:rsid w:val="0085325F"/>
    <w:rsid w:val="0087015E"/>
    <w:rsid w:val="008C56E4"/>
    <w:rsid w:val="00924C62"/>
    <w:rsid w:val="009575F5"/>
    <w:rsid w:val="009819D9"/>
    <w:rsid w:val="009A439C"/>
    <w:rsid w:val="009D0880"/>
    <w:rsid w:val="00A56FB5"/>
    <w:rsid w:val="00B31306"/>
    <w:rsid w:val="00BC6D5E"/>
    <w:rsid w:val="00C14110"/>
    <w:rsid w:val="00C80158"/>
    <w:rsid w:val="00CA21ED"/>
    <w:rsid w:val="00CA7585"/>
    <w:rsid w:val="00D06747"/>
    <w:rsid w:val="00D914DB"/>
    <w:rsid w:val="00DB3378"/>
    <w:rsid w:val="00DE14E6"/>
    <w:rsid w:val="00E24DB3"/>
    <w:rsid w:val="00E4475E"/>
    <w:rsid w:val="00E51DBD"/>
    <w:rsid w:val="00E6773A"/>
    <w:rsid w:val="00E76800"/>
    <w:rsid w:val="00E77F5F"/>
    <w:rsid w:val="00EB2E88"/>
    <w:rsid w:val="00F00328"/>
    <w:rsid w:val="00F03E03"/>
    <w:rsid w:val="00F3448F"/>
    <w:rsid w:val="00F67BD2"/>
    <w:rsid w:val="00FA2728"/>
    <w:rsid w:val="00FA4EF5"/>
    <w:rsid w:val="00FA7E56"/>
    <w:rsid w:val="00FB36B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CDDE4A"/>
  <w15:docId w15:val="{AF0AA611-8521-2344-B060-DEEA65FBE1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line="480" w:lineRule="auto"/>
      <w:jc w:val="both"/>
      <w:outlineLvl w:val="1"/>
    </w:pPr>
    <w:rPr>
      <w:rFonts w:ascii="Times New Roman" w:eastAsia="Times New Roman" w:hAnsi="Times New Roman" w:cs="Times New Roman"/>
      <w:sz w:val="32"/>
      <w:szCs w:val="32"/>
    </w:rPr>
  </w:style>
  <w:style w:type="paragraph" w:styleId="Heading3">
    <w:name w:val="heading 3"/>
    <w:basedOn w:val="Normal"/>
    <w:next w:val="Normal"/>
    <w:uiPriority w:val="9"/>
    <w:unhideWhenUsed/>
    <w:qFormat/>
    <w:pPr>
      <w:keepNext/>
      <w:keepLines/>
      <w:spacing w:before="320" w:after="80"/>
      <w:outlineLvl w:val="2"/>
    </w:pPr>
    <w:rPr>
      <w:rFonts w:ascii="Times New Roman" w:eastAsia="Times New Roman" w:hAnsi="Times New Roman" w:cs="Times New Roman"/>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line="240" w:lineRule="auto"/>
      <w:jc w:val="right"/>
    </w:pPr>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pPr>
      <w:spacing w:line="240" w:lineRule="auto"/>
      <w:jc w:val="right"/>
    </w:pPr>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pPr>
      <w:spacing w:line="240" w:lineRule="auto"/>
      <w:jc w:val="right"/>
    </w:pPr>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paragraph" w:styleId="BodyText">
    <w:name w:val="Body Text"/>
    <w:basedOn w:val="Normal"/>
    <w:link w:val="BodyTextChar"/>
    <w:uiPriority w:val="99"/>
    <w:semiHidden/>
    <w:unhideWhenUsed/>
    <w:rsid w:val="00D914DB"/>
    <w:pPr>
      <w:spacing w:after="120"/>
    </w:pPr>
  </w:style>
  <w:style w:type="character" w:customStyle="1" w:styleId="BodyTextChar">
    <w:name w:val="Body Text Char"/>
    <w:basedOn w:val="DefaultParagraphFont"/>
    <w:link w:val="BodyText"/>
    <w:uiPriority w:val="99"/>
    <w:semiHidden/>
    <w:rsid w:val="00D914DB"/>
  </w:style>
  <w:style w:type="character" w:styleId="LineNumber">
    <w:name w:val="line number"/>
    <w:basedOn w:val="DefaultParagraphFont"/>
    <w:uiPriority w:val="99"/>
    <w:semiHidden/>
    <w:unhideWhenUsed/>
    <w:rsid w:val="00FA2728"/>
  </w:style>
  <w:style w:type="paragraph" w:styleId="Footer">
    <w:name w:val="footer"/>
    <w:basedOn w:val="Normal"/>
    <w:link w:val="FooterChar"/>
    <w:uiPriority w:val="99"/>
    <w:unhideWhenUsed/>
    <w:rsid w:val="00CA21ED"/>
    <w:pPr>
      <w:tabs>
        <w:tab w:val="center" w:pos="4513"/>
        <w:tab w:val="right" w:pos="9026"/>
      </w:tabs>
      <w:spacing w:line="240" w:lineRule="auto"/>
    </w:pPr>
  </w:style>
  <w:style w:type="character" w:customStyle="1" w:styleId="FooterChar">
    <w:name w:val="Footer Char"/>
    <w:basedOn w:val="DefaultParagraphFont"/>
    <w:link w:val="Footer"/>
    <w:uiPriority w:val="99"/>
    <w:rsid w:val="00CA21ED"/>
  </w:style>
  <w:style w:type="character" w:styleId="PageNumber">
    <w:name w:val="page number"/>
    <w:basedOn w:val="DefaultParagraphFont"/>
    <w:uiPriority w:val="99"/>
    <w:semiHidden/>
    <w:unhideWhenUsed/>
    <w:rsid w:val="00CA21ED"/>
  </w:style>
  <w:style w:type="paragraph" w:styleId="Header">
    <w:name w:val="header"/>
    <w:basedOn w:val="Normal"/>
    <w:link w:val="HeaderChar"/>
    <w:uiPriority w:val="99"/>
    <w:unhideWhenUsed/>
    <w:rsid w:val="00E51DBD"/>
    <w:pPr>
      <w:tabs>
        <w:tab w:val="center" w:pos="4513"/>
        <w:tab w:val="right" w:pos="9026"/>
      </w:tabs>
      <w:spacing w:line="240" w:lineRule="auto"/>
    </w:pPr>
  </w:style>
  <w:style w:type="character" w:customStyle="1" w:styleId="HeaderChar">
    <w:name w:val="Header Char"/>
    <w:basedOn w:val="DefaultParagraphFont"/>
    <w:link w:val="Header"/>
    <w:uiPriority w:val="99"/>
    <w:rsid w:val="00E51DBD"/>
  </w:style>
  <w:style w:type="paragraph" w:styleId="NormalWeb">
    <w:name w:val="Normal (Web)"/>
    <w:basedOn w:val="Normal"/>
    <w:uiPriority w:val="99"/>
    <w:semiHidden/>
    <w:unhideWhenUsed/>
    <w:rsid w:val="00F3448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3448F"/>
    <w:rPr>
      <w:b/>
      <w:bCs/>
    </w:rPr>
  </w:style>
  <w:style w:type="character" w:styleId="Emphasis">
    <w:name w:val="Emphasis"/>
    <w:basedOn w:val="DefaultParagraphFont"/>
    <w:uiPriority w:val="20"/>
    <w:qFormat/>
    <w:rsid w:val="00F3448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88789082">
      <w:bodyDiv w:val="1"/>
      <w:marLeft w:val="0"/>
      <w:marRight w:val="0"/>
      <w:marTop w:val="0"/>
      <w:marBottom w:val="0"/>
      <w:divBdr>
        <w:top w:val="none" w:sz="0" w:space="0" w:color="auto"/>
        <w:left w:val="none" w:sz="0" w:space="0" w:color="auto"/>
        <w:bottom w:val="none" w:sz="0" w:space="0" w:color="auto"/>
        <w:right w:val="none" w:sz="0" w:space="0" w:color="auto"/>
      </w:divBdr>
    </w:div>
    <w:div w:id="820389325">
      <w:bodyDiv w:val="1"/>
      <w:marLeft w:val="0"/>
      <w:marRight w:val="0"/>
      <w:marTop w:val="0"/>
      <w:marBottom w:val="0"/>
      <w:divBdr>
        <w:top w:val="none" w:sz="0" w:space="0" w:color="auto"/>
        <w:left w:val="none" w:sz="0" w:space="0" w:color="auto"/>
        <w:bottom w:val="none" w:sz="0" w:space="0" w:color="auto"/>
        <w:right w:val="none" w:sz="0" w:space="0" w:color="auto"/>
      </w:divBdr>
    </w:div>
    <w:div w:id="19048279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footer" Target="footer2.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87A28F-66FE-154A-8952-AB6B59A0D4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.~WRD0001</Template>
  <TotalTime>2</TotalTime>
  <Pages>25</Pages>
  <Words>3574</Words>
  <Characters>20378</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Sweeney, Mark D</cp:lastModifiedBy>
  <cp:revision>2</cp:revision>
  <dcterms:created xsi:type="dcterms:W3CDTF">2024-08-12T16:14:00Z</dcterms:created>
  <dcterms:modified xsi:type="dcterms:W3CDTF">2024-08-12T16:14:00Z</dcterms:modified>
</cp:coreProperties>
</file>